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55542D" w14:textId="77777777" w:rsidR="00EC6531" w:rsidRPr="00DD4703" w:rsidRDefault="00EC6531">
      <w:pPr>
        <w:spacing w:line="1" w:lineRule="exact"/>
        <w:sectPr w:rsidR="00EC6531" w:rsidRPr="00DD4703" w:rsidSect="00DF3FDB">
          <w:headerReference w:type="default" r:id="rId7"/>
          <w:footerReference w:type="default" r:id="rId8"/>
          <w:type w:val="continuous"/>
          <w:pgSz w:w="11905" w:h="16837"/>
          <w:pgMar w:top="1440" w:right="1800" w:bottom="1440" w:left="1800" w:header="708" w:footer="708" w:gutter="0"/>
          <w:cols w:space="708"/>
          <w:docGrid w:linePitch="245"/>
        </w:sectPr>
      </w:pPr>
    </w:p>
    <w:p w14:paraId="2A8B3836" w14:textId="77777777" w:rsidR="00EC6531" w:rsidRPr="00DD4703" w:rsidRDefault="00EC6531"/>
    <w:p w14:paraId="39F83ED1" w14:textId="77777777" w:rsidR="007010F4" w:rsidRDefault="007010F4" w:rsidP="007010F4"/>
    <w:p w14:paraId="038EB18B" w14:textId="77777777" w:rsidR="007010F4" w:rsidRDefault="007010F4" w:rsidP="007010F4"/>
    <w:p w14:paraId="143DDE44" w14:textId="77777777" w:rsidR="007010F4" w:rsidRDefault="007010F4" w:rsidP="007010F4"/>
    <w:p w14:paraId="24849618" w14:textId="77777777" w:rsidR="007010F4" w:rsidRDefault="007010F4" w:rsidP="007010F4"/>
    <w:p w14:paraId="0D7EE3D3" w14:textId="77777777" w:rsidR="007010F4" w:rsidRDefault="007010F4" w:rsidP="007010F4"/>
    <w:p w14:paraId="57F6C59B" w14:textId="77777777" w:rsidR="007010F4" w:rsidRDefault="007010F4" w:rsidP="007010F4"/>
    <w:p w14:paraId="3107AEBD" w14:textId="77777777" w:rsidR="007010F4" w:rsidRDefault="007010F4" w:rsidP="007010F4"/>
    <w:p w14:paraId="0EC763ED" w14:textId="77777777" w:rsidR="007010F4" w:rsidRDefault="007010F4" w:rsidP="007010F4"/>
    <w:p w14:paraId="125137B8" w14:textId="77777777" w:rsidR="007010F4" w:rsidRDefault="007010F4" w:rsidP="007010F4"/>
    <w:p w14:paraId="50D33F4C" w14:textId="77777777" w:rsidR="007010F4" w:rsidRDefault="007010F4" w:rsidP="007010F4"/>
    <w:p w14:paraId="53301BF4" w14:textId="5A8B1A81" w:rsidR="007010F4" w:rsidRPr="007010F4" w:rsidRDefault="007010F4" w:rsidP="007010F4">
      <w:pPr>
        <w:ind w:left="708" w:firstLine="708"/>
        <w:rPr>
          <w:b/>
        </w:rPr>
      </w:pPr>
      <w:r w:rsidRPr="007010F4">
        <w:rPr>
          <w:b/>
          <w:color w:val="auto"/>
        </w:rPr>
        <w:t>Toelichting Meet- en Registratiesystemen</w:t>
      </w:r>
      <w:r w:rsidR="006029A6">
        <w:rPr>
          <w:b/>
          <w:color w:val="auto"/>
        </w:rPr>
        <w:t xml:space="preserve"> bedrijven</w:t>
      </w:r>
      <w:r w:rsidR="00D0319C">
        <w:rPr>
          <w:b/>
          <w:color w:val="auto"/>
        </w:rPr>
        <w:t xml:space="preserve">, onderdeel </w:t>
      </w:r>
      <w:r w:rsidR="00D0319C">
        <w:rPr>
          <w:b/>
          <w:color w:val="auto"/>
        </w:rPr>
        <w:tab/>
        <w:t>meet- en monsternameapparatuur</w:t>
      </w:r>
    </w:p>
    <w:p w14:paraId="77AD3535" w14:textId="77777777" w:rsidR="007010F4" w:rsidRPr="009B1F49" w:rsidRDefault="007010F4" w:rsidP="007010F4">
      <w:pPr>
        <w:ind w:left="1416"/>
        <w:rPr>
          <w:color w:val="auto"/>
        </w:rPr>
      </w:pPr>
      <w:r w:rsidRPr="009B1F49">
        <w:rPr>
          <w:color w:val="auto"/>
        </w:rPr>
        <w:t> </w:t>
      </w:r>
    </w:p>
    <w:p w14:paraId="4ADF1CBA" w14:textId="77777777" w:rsidR="007010F4" w:rsidRPr="009B1F49" w:rsidRDefault="007010F4" w:rsidP="007010F4">
      <w:pPr>
        <w:ind w:left="1416"/>
        <w:rPr>
          <w:color w:val="auto"/>
        </w:rPr>
      </w:pPr>
      <w:r w:rsidRPr="009B1F49">
        <w:rPr>
          <w:color w:val="auto"/>
        </w:rPr>
        <w:t> </w:t>
      </w:r>
    </w:p>
    <w:p w14:paraId="6C5DE9C1" w14:textId="77777777" w:rsidR="007010F4" w:rsidRPr="009B1F49" w:rsidRDefault="007010F4" w:rsidP="007010F4">
      <w:pPr>
        <w:ind w:left="1416"/>
        <w:rPr>
          <w:color w:val="auto"/>
        </w:rPr>
      </w:pPr>
      <w:r w:rsidRPr="009B1F49">
        <w:rPr>
          <w:color w:val="auto"/>
        </w:rPr>
        <w:t> </w:t>
      </w:r>
    </w:p>
    <w:p w14:paraId="69DD7750" w14:textId="77777777" w:rsidR="007010F4" w:rsidRPr="009B1F49" w:rsidRDefault="007010F4" w:rsidP="007010F4">
      <w:pPr>
        <w:ind w:left="1416"/>
        <w:rPr>
          <w:color w:val="auto"/>
        </w:rPr>
      </w:pPr>
      <w:r w:rsidRPr="009B1F49">
        <w:rPr>
          <w:color w:val="auto"/>
        </w:rPr>
        <w:t> </w:t>
      </w:r>
    </w:p>
    <w:tbl>
      <w:tblPr>
        <w:tblW w:w="7711" w:type="dxa"/>
        <w:tblInd w:w="1416" w:type="dxa"/>
        <w:tblLayout w:type="fixed"/>
        <w:tblLook w:val="07E0" w:firstRow="1" w:lastRow="1" w:firstColumn="1" w:lastColumn="1" w:noHBand="1" w:noVBand="1"/>
      </w:tblPr>
      <w:tblGrid>
        <w:gridCol w:w="1928"/>
        <w:gridCol w:w="5783"/>
      </w:tblGrid>
      <w:tr w:rsidR="007010F4" w:rsidRPr="009B1F49" w14:paraId="1A5AA3FA" w14:textId="77777777" w:rsidTr="007010F4">
        <w:tc>
          <w:tcPr>
            <w:tcW w:w="1928" w:type="dxa"/>
          </w:tcPr>
          <w:p w14:paraId="70372EF9" w14:textId="77777777" w:rsidR="007010F4" w:rsidRPr="009B1F49" w:rsidRDefault="007010F4" w:rsidP="002F2878">
            <w:pPr>
              <w:rPr>
                <w:color w:val="auto"/>
              </w:rPr>
            </w:pPr>
            <w:r w:rsidRPr="009B1F49">
              <w:rPr>
                <w:color w:val="auto"/>
              </w:rPr>
              <w:t>Uitgegeven door</w:t>
            </w:r>
          </w:p>
        </w:tc>
        <w:tc>
          <w:tcPr>
            <w:tcW w:w="5783" w:type="dxa"/>
          </w:tcPr>
          <w:p w14:paraId="1011EA6A" w14:textId="77777777" w:rsidR="007010F4" w:rsidRPr="009B1F49" w:rsidRDefault="00D25972" w:rsidP="002F2878">
            <w:pPr>
              <w:rPr>
                <w:color w:val="auto"/>
              </w:rPr>
            </w:pPr>
            <w:r>
              <w:rPr>
                <w:color w:val="auto"/>
              </w:rPr>
              <w:t>RWS afdeling Handhaving WNZ/ZN</w:t>
            </w:r>
          </w:p>
        </w:tc>
      </w:tr>
      <w:tr w:rsidR="007010F4" w:rsidRPr="009B1F49" w14:paraId="451533F7" w14:textId="77777777" w:rsidTr="007010F4">
        <w:tc>
          <w:tcPr>
            <w:tcW w:w="1928" w:type="dxa"/>
          </w:tcPr>
          <w:p w14:paraId="22515B87" w14:textId="77777777" w:rsidR="007010F4" w:rsidRPr="009B1F49" w:rsidRDefault="007010F4" w:rsidP="002F2878">
            <w:pPr>
              <w:rPr>
                <w:color w:val="auto"/>
              </w:rPr>
            </w:pPr>
            <w:r w:rsidRPr="009B1F49">
              <w:rPr>
                <w:color w:val="auto"/>
              </w:rPr>
              <w:t>Informatie</w:t>
            </w:r>
          </w:p>
        </w:tc>
        <w:tc>
          <w:tcPr>
            <w:tcW w:w="5783" w:type="dxa"/>
          </w:tcPr>
          <w:p w14:paraId="26311C3E" w14:textId="2A111055" w:rsidR="007010F4" w:rsidRPr="009B1F49" w:rsidRDefault="007010F4" w:rsidP="002F2878">
            <w:pPr>
              <w:rPr>
                <w:color w:val="auto"/>
              </w:rPr>
            </w:pPr>
          </w:p>
        </w:tc>
      </w:tr>
      <w:tr w:rsidR="007010F4" w:rsidRPr="009B1F49" w14:paraId="0D0CB892" w14:textId="77777777" w:rsidTr="007010F4">
        <w:tc>
          <w:tcPr>
            <w:tcW w:w="1928" w:type="dxa"/>
          </w:tcPr>
          <w:p w14:paraId="59776278" w14:textId="77777777" w:rsidR="007010F4" w:rsidRPr="009B1F49" w:rsidRDefault="007010F4" w:rsidP="002F2878">
            <w:pPr>
              <w:rPr>
                <w:color w:val="auto"/>
              </w:rPr>
            </w:pPr>
            <w:r w:rsidRPr="009B1F49">
              <w:rPr>
                <w:color w:val="auto"/>
              </w:rPr>
              <w:t>Datum</w:t>
            </w:r>
          </w:p>
        </w:tc>
        <w:tc>
          <w:tcPr>
            <w:tcW w:w="5783" w:type="dxa"/>
          </w:tcPr>
          <w:p w14:paraId="54098A55" w14:textId="73875692" w:rsidR="007010F4" w:rsidRPr="009B1F49" w:rsidRDefault="004C5094" w:rsidP="004C5094">
            <w:pPr>
              <w:rPr>
                <w:color w:val="auto"/>
              </w:rPr>
            </w:pPr>
            <w:r>
              <w:rPr>
                <w:color w:val="auto"/>
              </w:rPr>
              <w:t>12-0</w:t>
            </w:r>
            <w:r w:rsidR="00D25972">
              <w:rPr>
                <w:color w:val="auto"/>
              </w:rPr>
              <w:t>1-202</w:t>
            </w:r>
            <w:r>
              <w:rPr>
                <w:color w:val="auto"/>
              </w:rPr>
              <w:t>4</w:t>
            </w:r>
          </w:p>
        </w:tc>
      </w:tr>
      <w:tr w:rsidR="007010F4" w:rsidRPr="009B1F49" w14:paraId="60CBF6C9" w14:textId="77777777" w:rsidTr="007010F4">
        <w:tc>
          <w:tcPr>
            <w:tcW w:w="1928" w:type="dxa"/>
          </w:tcPr>
          <w:p w14:paraId="3C117CC6" w14:textId="77777777" w:rsidR="007010F4" w:rsidRPr="009B1F49" w:rsidRDefault="007010F4" w:rsidP="002F2878">
            <w:pPr>
              <w:rPr>
                <w:color w:val="auto"/>
              </w:rPr>
            </w:pPr>
            <w:r w:rsidRPr="009B1F49">
              <w:rPr>
                <w:color w:val="auto"/>
              </w:rPr>
              <w:t>Status</w:t>
            </w:r>
          </w:p>
        </w:tc>
        <w:tc>
          <w:tcPr>
            <w:tcW w:w="5783" w:type="dxa"/>
          </w:tcPr>
          <w:p w14:paraId="05EC9991" w14:textId="3FD6E91E" w:rsidR="007010F4" w:rsidRPr="009B1F49" w:rsidRDefault="004C5094" w:rsidP="002F2878">
            <w:pPr>
              <w:rPr>
                <w:color w:val="auto"/>
              </w:rPr>
            </w:pPr>
            <w:r>
              <w:rPr>
                <w:color w:val="auto"/>
              </w:rPr>
              <w:t>Definitief</w:t>
            </w:r>
          </w:p>
        </w:tc>
      </w:tr>
      <w:tr w:rsidR="007010F4" w:rsidRPr="009B1F49" w14:paraId="699511E7" w14:textId="77777777" w:rsidTr="007010F4">
        <w:tc>
          <w:tcPr>
            <w:tcW w:w="1928" w:type="dxa"/>
          </w:tcPr>
          <w:p w14:paraId="0BC7762F" w14:textId="77777777" w:rsidR="007010F4" w:rsidRPr="009B1F49" w:rsidRDefault="007010F4" w:rsidP="002F2878">
            <w:pPr>
              <w:rPr>
                <w:color w:val="auto"/>
              </w:rPr>
            </w:pPr>
            <w:r w:rsidRPr="009B1F49">
              <w:rPr>
                <w:color w:val="auto"/>
              </w:rPr>
              <w:t>Versienummer</w:t>
            </w:r>
          </w:p>
        </w:tc>
        <w:tc>
          <w:tcPr>
            <w:tcW w:w="5783" w:type="dxa"/>
          </w:tcPr>
          <w:p w14:paraId="7E0D9188" w14:textId="3D1557D9" w:rsidR="007010F4" w:rsidRPr="009B1F49" w:rsidRDefault="00BE60C9" w:rsidP="004C5094">
            <w:pPr>
              <w:rPr>
                <w:color w:val="auto"/>
              </w:rPr>
            </w:pPr>
            <w:bookmarkStart w:id="0" w:name="_GoBack"/>
            <w:r>
              <w:rPr>
                <w:color w:val="auto"/>
              </w:rPr>
              <w:t xml:space="preserve">V1.1. </w:t>
            </w:r>
            <w:r w:rsidR="004C5094">
              <w:rPr>
                <w:color w:val="auto"/>
              </w:rPr>
              <w:t>12-0</w:t>
            </w:r>
            <w:r w:rsidR="00D25972">
              <w:rPr>
                <w:color w:val="auto"/>
              </w:rPr>
              <w:t>1-202</w:t>
            </w:r>
            <w:r w:rsidR="004C5094">
              <w:rPr>
                <w:color w:val="auto"/>
              </w:rPr>
              <w:t>4</w:t>
            </w:r>
            <w:bookmarkEnd w:id="0"/>
          </w:p>
        </w:tc>
      </w:tr>
    </w:tbl>
    <w:p w14:paraId="16DCC2BB" w14:textId="77777777" w:rsidR="007010F4" w:rsidRDefault="007010F4"/>
    <w:p w14:paraId="2E27446B" w14:textId="77777777" w:rsidR="007010F4" w:rsidRPr="00DD4703" w:rsidRDefault="007010F4"/>
    <w:p w14:paraId="33789776" w14:textId="77777777" w:rsidR="00EC6531" w:rsidRPr="00DD4703" w:rsidRDefault="00EC6531">
      <w:pPr>
        <w:spacing w:line="1" w:lineRule="exact"/>
      </w:pPr>
    </w:p>
    <w:p w14:paraId="3457547F" w14:textId="77777777" w:rsidR="00EC6531" w:rsidRPr="00DD4703" w:rsidRDefault="00EC6531">
      <w:pPr>
        <w:spacing w:line="1" w:lineRule="exact"/>
        <w:sectPr w:rsidR="00EC6531" w:rsidRPr="00DD4703" w:rsidSect="00DF3FDB">
          <w:headerReference w:type="default" r:id="rId9"/>
          <w:type w:val="continuous"/>
          <w:pgSz w:w="11905" w:h="16837"/>
          <w:pgMar w:top="1440" w:right="1800" w:bottom="1440" w:left="1800" w:header="708" w:footer="708" w:gutter="0"/>
          <w:cols w:space="708"/>
          <w:docGrid w:linePitch="245"/>
        </w:sectPr>
      </w:pPr>
    </w:p>
    <w:p w14:paraId="155162AF" w14:textId="77777777" w:rsidR="00DB30CD" w:rsidRPr="00DD4703" w:rsidRDefault="00451A4E" w:rsidP="00DB30CD">
      <w:pPr>
        <w:rPr>
          <w:rFonts w:eastAsia="Times New Roman" w:cs="Arial"/>
          <w:b/>
          <w:color w:val="auto"/>
        </w:rPr>
      </w:pPr>
      <w:r w:rsidRPr="00DD4703">
        <w:t> </w:t>
      </w:r>
    </w:p>
    <w:p w14:paraId="6E437F2E" w14:textId="77777777" w:rsidR="007010F4" w:rsidRDefault="007010F4">
      <w:pPr>
        <w:spacing w:line="240" w:lineRule="auto"/>
        <w:rPr>
          <w:rFonts w:eastAsia="Times New Roman" w:cs="Arial"/>
          <w:b/>
          <w:color w:val="auto"/>
        </w:rPr>
      </w:pPr>
      <w:r>
        <w:rPr>
          <w:rFonts w:eastAsia="Times New Roman" w:cs="Arial"/>
          <w:b/>
          <w:color w:val="auto"/>
        </w:rPr>
        <w:br w:type="page"/>
      </w:r>
    </w:p>
    <w:p w14:paraId="2E72FCFA" w14:textId="77777777" w:rsidR="00DB30CD" w:rsidRPr="00DD4703" w:rsidRDefault="00DB30CD" w:rsidP="00DB30CD">
      <w:pPr>
        <w:overflowPunct w:val="0"/>
        <w:autoSpaceDE w:val="0"/>
        <w:adjustRightInd w:val="0"/>
        <w:spacing w:line="240" w:lineRule="auto"/>
        <w:rPr>
          <w:rFonts w:eastAsia="Times New Roman" w:cs="Arial"/>
          <w:b/>
          <w:color w:val="auto"/>
        </w:rPr>
      </w:pPr>
      <w:r w:rsidRPr="00DD4703">
        <w:rPr>
          <w:rFonts w:eastAsia="Times New Roman" w:cs="Arial"/>
          <w:b/>
          <w:color w:val="auto"/>
        </w:rPr>
        <w:lastRenderedPageBreak/>
        <w:t>INLEIDING</w:t>
      </w:r>
      <w:r w:rsidR="006920BC">
        <w:rPr>
          <w:rFonts w:eastAsia="Times New Roman" w:cs="Arial"/>
          <w:b/>
          <w:color w:val="auto"/>
        </w:rPr>
        <w:br/>
      </w:r>
    </w:p>
    <w:p w14:paraId="0C5FC0A4" w14:textId="11F6F52D"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Dit document geeft een inhoudelijke toelichting per vraag bij de checklist meet- en </w:t>
      </w:r>
      <w:r w:rsidR="00FB1682">
        <w:rPr>
          <w:rFonts w:eastAsia="Times New Roman" w:cs="Arial"/>
          <w:color w:val="auto"/>
        </w:rPr>
        <w:t>monstername-apparatuur</w:t>
      </w:r>
      <w:r w:rsidRPr="00DD4703">
        <w:rPr>
          <w:rFonts w:eastAsia="Times New Roman" w:cs="Arial"/>
          <w:color w:val="auto"/>
        </w:rPr>
        <w:t>. Tevens worden tips en suggesties gegeven en eventuele informatiebronnen over het betreffende onderwerp.</w:t>
      </w:r>
    </w:p>
    <w:p w14:paraId="506E016F"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De toelichting volgt de indeling van de vragen uit de checklist.</w:t>
      </w:r>
    </w:p>
    <w:p w14:paraId="2739DF76"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De controle volgt de zgn. </w:t>
      </w:r>
      <w:r w:rsidRPr="00DD4703">
        <w:rPr>
          <w:rFonts w:eastAsia="Times New Roman" w:cs="Arial"/>
          <w:b/>
          <w:color w:val="auto"/>
        </w:rPr>
        <w:t>gegevensproductieketen</w:t>
      </w:r>
      <w:r w:rsidRPr="00DD4703">
        <w:rPr>
          <w:rFonts w:eastAsia="Times New Roman" w:cs="Arial"/>
          <w:color w:val="auto"/>
        </w:rPr>
        <w:t xml:space="preserve"> welke de volgende stappen omvat: </w:t>
      </w:r>
    </w:p>
    <w:p w14:paraId="723E6710" w14:textId="77777777" w:rsidR="00DB30CD" w:rsidRPr="00DD4703" w:rsidRDefault="00DB30CD" w:rsidP="00DB30CD">
      <w:pPr>
        <w:overflowPunct w:val="0"/>
        <w:autoSpaceDE w:val="0"/>
        <w:adjustRightInd w:val="0"/>
        <w:spacing w:line="240" w:lineRule="auto"/>
        <w:rPr>
          <w:rFonts w:eastAsia="Times New Roman" w:cs="Arial"/>
          <w:color w:val="auto"/>
        </w:rPr>
      </w:pPr>
    </w:p>
    <w:p w14:paraId="5F04CFAA"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debietmeting en monstername</w:t>
      </w:r>
    </w:p>
    <w:p w14:paraId="569F9A87"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monsterbehandeling en bewaring</w:t>
      </w:r>
    </w:p>
    <w:p w14:paraId="43F80ADA"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analyse van het monster,</w:t>
      </w:r>
    </w:p>
    <w:p w14:paraId="1DC536EC"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gegevensverwerking,</w:t>
      </w:r>
    </w:p>
    <w:p w14:paraId="31D8BA87" w14:textId="77777777" w:rsidR="00DB30CD" w:rsidRPr="00DD4703" w:rsidRDefault="00DB30CD" w:rsidP="00DB30CD">
      <w:pPr>
        <w:numPr>
          <w:ilvl w:val="0"/>
          <w:numId w:val="31"/>
        </w:numPr>
        <w:tabs>
          <w:tab w:val="clear" w:pos="360"/>
          <w:tab w:val="num" w:pos="720"/>
        </w:tabs>
        <w:overflowPunct w:val="0"/>
        <w:autoSpaceDE w:val="0"/>
        <w:autoSpaceDN/>
        <w:adjustRightInd w:val="0"/>
        <w:spacing w:line="240" w:lineRule="auto"/>
        <w:ind w:left="720"/>
        <w:jc w:val="both"/>
        <w:textAlignment w:val="auto"/>
        <w:rPr>
          <w:rFonts w:eastAsia="Times New Roman" w:cs="Arial"/>
          <w:color w:val="auto"/>
        </w:rPr>
      </w:pPr>
      <w:r w:rsidRPr="00DD4703">
        <w:rPr>
          <w:rFonts w:eastAsia="Times New Roman" w:cs="Arial"/>
          <w:color w:val="auto"/>
        </w:rPr>
        <w:t>rapportage van de gegevens.</w:t>
      </w:r>
    </w:p>
    <w:p w14:paraId="627888C2" w14:textId="77777777" w:rsidR="00DB30CD" w:rsidRPr="00DD4703" w:rsidRDefault="00DB30CD" w:rsidP="00DB30CD">
      <w:pPr>
        <w:overflowPunct w:val="0"/>
        <w:autoSpaceDE w:val="0"/>
        <w:adjustRightInd w:val="0"/>
        <w:spacing w:line="240" w:lineRule="auto"/>
        <w:rPr>
          <w:rFonts w:eastAsia="Times New Roman" w:cs="Arial"/>
          <w:color w:val="auto"/>
        </w:rPr>
      </w:pPr>
    </w:p>
    <w:p w14:paraId="452371C3" w14:textId="77777777" w:rsidR="00DB30CD" w:rsidRPr="00DD4703" w:rsidRDefault="00DB30CD" w:rsidP="00DB30CD">
      <w:pPr>
        <w:overflowPunct w:val="0"/>
        <w:autoSpaceDE w:val="0"/>
        <w:adjustRightInd w:val="0"/>
        <w:spacing w:line="240" w:lineRule="auto"/>
        <w:rPr>
          <w:rFonts w:eastAsia="Times New Roman" w:cs="Arial"/>
          <w:color w:val="auto"/>
        </w:rPr>
      </w:pPr>
      <w:r w:rsidRPr="00DD4703">
        <w:rPr>
          <w:rFonts w:eastAsia="Times New Roman" w:cs="Arial"/>
          <w:color w:val="auto"/>
        </w:rPr>
        <w:t xml:space="preserve">Om correcte gegevens te kunnen rapporteren behoort elke schakel betrouwbaar en verifieerbaar te werken. </w:t>
      </w:r>
    </w:p>
    <w:p w14:paraId="7BD02645" w14:textId="77777777" w:rsidR="00DB30CD" w:rsidRPr="00DD4703" w:rsidRDefault="00DB30CD" w:rsidP="00DB30CD">
      <w:pPr>
        <w:autoSpaceDN/>
        <w:spacing w:line="240" w:lineRule="auto"/>
        <w:textAlignment w:val="auto"/>
        <w:rPr>
          <w:rFonts w:eastAsia="Times New Roman" w:cs="Arial"/>
          <w:color w:val="auto"/>
        </w:rPr>
      </w:pPr>
    </w:p>
    <w:p w14:paraId="7B591C80" w14:textId="77777777" w:rsidR="00DB30CD" w:rsidRPr="0028032D" w:rsidRDefault="00DB30CD" w:rsidP="00DB30CD">
      <w:pPr>
        <w:autoSpaceDN/>
        <w:spacing w:line="240" w:lineRule="auto"/>
        <w:textAlignment w:val="auto"/>
        <w:rPr>
          <w:rFonts w:eastAsia="Times New Roman" w:cs="Arial"/>
          <w:b/>
          <w:color w:val="auto"/>
          <w:u w:val="single"/>
        </w:rPr>
      </w:pPr>
      <w:r w:rsidRPr="0028032D">
        <w:rPr>
          <w:rFonts w:eastAsia="Times New Roman" w:cs="Arial"/>
          <w:b/>
          <w:color w:val="auto"/>
          <w:u w:val="single"/>
        </w:rPr>
        <w:t>Wettelijke voorschriften en informatiebronnen</w:t>
      </w:r>
    </w:p>
    <w:p w14:paraId="24A74905" w14:textId="5242A8F2" w:rsidR="00DB30CD" w:rsidRPr="00DD4703" w:rsidRDefault="00DB30CD" w:rsidP="00DB30CD">
      <w:pPr>
        <w:autoSpaceDN/>
        <w:spacing w:line="240" w:lineRule="auto"/>
        <w:textAlignment w:val="auto"/>
        <w:rPr>
          <w:rFonts w:eastAsia="Times New Roman" w:cs="Arial"/>
          <w:color w:val="auto"/>
        </w:rPr>
      </w:pPr>
      <w:r w:rsidRPr="00DD4703">
        <w:rPr>
          <w:rFonts w:eastAsia="Times New Roman" w:cs="Arial"/>
          <w:color w:val="auto"/>
        </w:rPr>
        <w:t xml:space="preserve">De voorschriften voor meting en bemonstering voor heffingsplichtige bedrijven van RWS zijn vastgelegd in de Waterregeling, </w:t>
      </w:r>
      <w:r w:rsidR="002F2878">
        <w:rPr>
          <w:rFonts w:eastAsia="Times New Roman" w:cs="Arial"/>
          <w:color w:val="auto"/>
        </w:rPr>
        <w:t xml:space="preserve">(hoofdstuk 7). </w:t>
      </w:r>
      <w:r w:rsidR="002F2878" w:rsidRPr="004C5094">
        <w:rPr>
          <w:rFonts w:eastAsia="Times New Roman" w:cs="Arial"/>
          <w:color w:val="auto"/>
        </w:rPr>
        <w:t xml:space="preserve">Noot: de regels voor meten en bemonsteren </w:t>
      </w:r>
      <w:r w:rsidR="00D0319C" w:rsidRPr="004C5094">
        <w:rPr>
          <w:rFonts w:eastAsia="Times New Roman" w:cs="Arial"/>
          <w:color w:val="auto"/>
        </w:rPr>
        <w:t>zoals die nu in</w:t>
      </w:r>
      <w:r w:rsidR="00DD5745">
        <w:rPr>
          <w:rFonts w:eastAsia="Times New Roman" w:cs="Arial"/>
          <w:color w:val="auto"/>
        </w:rPr>
        <w:t xml:space="preserve"> de waterwet en </w:t>
      </w:r>
      <w:r w:rsidR="00D0319C" w:rsidRPr="004C5094">
        <w:rPr>
          <w:rFonts w:eastAsia="Times New Roman" w:cs="Arial"/>
          <w:color w:val="auto"/>
        </w:rPr>
        <w:t>de W</w:t>
      </w:r>
      <w:r w:rsidR="002F2878" w:rsidRPr="004C5094">
        <w:rPr>
          <w:rFonts w:eastAsia="Times New Roman" w:cs="Arial"/>
          <w:color w:val="auto"/>
        </w:rPr>
        <w:t xml:space="preserve">aterregeling </w:t>
      </w:r>
      <w:r w:rsidR="00D0319C" w:rsidRPr="004C5094">
        <w:rPr>
          <w:rFonts w:eastAsia="Times New Roman" w:cs="Arial"/>
          <w:color w:val="auto"/>
        </w:rPr>
        <w:t xml:space="preserve">zijn opgenomen </w:t>
      </w:r>
      <w:r w:rsidR="002F2878" w:rsidRPr="004C5094">
        <w:rPr>
          <w:rFonts w:eastAsia="Times New Roman" w:cs="Arial"/>
          <w:color w:val="auto"/>
        </w:rPr>
        <w:t>blijven met het inwerking</w:t>
      </w:r>
      <w:r w:rsidRPr="004C5094">
        <w:rPr>
          <w:rFonts w:eastAsia="Times New Roman" w:cs="Arial"/>
          <w:color w:val="auto"/>
        </w:rPr>
        <w:t xml:space="preserve"> </w:t>
      </w:r>
      <w:r w:rsidR="002F2878" w:rsidRPr="004C5094">
        <w:rPr>
          <w:rFonts w:eastAsia="Times New Roman" w:cs="Arial"/>
          <w:color w:val="auto"/>
        </w:rPr>
        <w:t>treden van de Omgevingswet van kracht</w:t>
      </w:r>
      <w:r w:rsidR="00D0319C" w:rsidRPr="004C5094">
        <w:rPr>
          <w:rFonts w:eastAsia="Times New Roman" w:cs="Arial"/>
          <w:color w:val="auto"/>
        </w:rPr>
        <w:t>. D</w:t>
      </w:r>
      <w:r w:rsidR="002F2878" w:rsidRPr="004C5094">
        <w:rPr>
          <w:rFonts w:eastAsia="Times New Roman" w:cs="Arial"/>
          <w:color w:val="auto"/>
        </w:rPr>
        <w:t xml:space="preserve">e </w:t>
      </w:r>
      <w:r w:rsidR="00D0319C" w:rsidRPr="004C5094">
        <w:rPr>
          <w:rFonts w:eastAsia="Times New Roman" w:cs="Arial"/>
          <w:color w:val="auto"/>
        </w:rPr>
        <w:t xml:space="preserve">Waterwet en de </w:t>
      </w:r>
      <w:r w:rsidR="002F2878" w:rsidRPr="004C5094">
        <w:rPr>
          <w:rFonts w:eastAsia="Times New Roman" w:cs="Arial"/>
          <w:color w:val="auto"/>
        </w:rPr>
        <w:t xml:space="preserve">Waterregeling </w:t>
      </w:r>
      <w:r w:rsidR="00D0319C" w:rsidRPr="004C5094">
        <w:rPr>
          <w:rFonts w:eastAsia="Times New Roman" w:cs="Arial"/>
          <w:color w:val="auto"/>
        </w:rPr>
        <w:t xml:space="preserve">blijven voor deze onderwerpen </w:t>
      </w:r>
      <w:r w:rsidR="002F2878" w:rsidRPr="004C5094">
        <w:rPr>
          <w:rFonts w:eastAsia="Times New Roman" w:cs="Arial"/>
          <w:color w:val="auto"/>
        </w:rPr>
        <w:t>van kracht.</w:t>
      </w:r>
    </w:p>
    <w:p w14:paraId="40A91BA9" w14:textId="1D1C36CD" w:rsidR="00DB30CD" w:rsidRPr="00DD4703" w:rsidRDefault="00DB30CD" w:rsidP="00594FDB">
      <w:pPr>
        <w:overflowPunct w:val="0"/>
        <w:autoSpaceDE w:val="0"/>
        <w:adjustRightInd w:val="0"/>
        <w:spacing w:after="120" w:line="276" w:lineRule="auto"/>
        <w:rPr>
          <w:rFonts w:eastAsia="Times New Roman" w:cs="Times New Roman"/>
          <w:color w:val="auto"/>
        </w:rPr>
      </w:pPr>
      <w:r w:rsidRPr="00DD4703">
        <w:rPr>
          <w:rFonts w:eastAsia="Times New Roman" w:cs="Times New Roman"/>
          <w:color w:val="auto"/>
        </w:rPr>
        <w:t>Daarn</w:t>
      </w:r>
      <w:r w:rsidR="009341AE">
        <w:rPr>
          <w:rFonts w:eastAsia="Times New Roman" w:cs="Times New Roman"/>
          <w:color w:val="auto"/>
        </w:rPr>
        <w:t>aast wordt de NEN 6600-1 (2019</w:t>
      </w:r>
      <w:r w:rsidRPr="00DD4703">
        <w:rPr>
          <w:rFonts w:eastAsia="Times New Roman" w:cs="Times New Roman"/>
          <w:color w:val="auto"/>
        </w:rPr>
        <w:t xml:space="preserve">) ‘Monsterneming’-Deel 1: Afvalwater’ als een relevant referentiedocument gezien. Hierin wordt geen debietmeting behandeld. De NEN 6600-2 ‘Monsterneming –Deel 2: Oppervlaktewater’, kan van belang zijn voor bepaling van de kwaliteit van ingenomen oppervlaktewater ten behoeve van verschilmetingen zoals bij inname en lozing van koelwater. </w:t>
      </w:r>
      <w:r w:rsidR="009B027E" w:rsidRPr="00C378A7">
        <w:rPr>
          <w:rFonts w:eastAsia="Times New Roman" w:cs="Times New Roman"/>
          <w:color w:val="auto"/>
        </w:rPr>
        <w:t>Tot slot is het CIW rapport “Meten en bemonsteren van afvalwater”; uit 1998 nog te noemen als een achtergronddocument.</w:t>
      </w:r>
    </w:p>
    <w:p w14:paraId="3296E9E1" w14:textId="77777777" w:rsidR="00AC47F5" w:rsidRPr="009B1F49" w:rsidRDefault="00AC47F5" w:rsidP="00AC47F5">
      <w:pPr>
        <w:pStyle w:val="Bijschrift"/>
        <w:rPr>
          <w:color w:val="auto"/>
          <w:sz w:val="18"/>
          <w:szCs w:val="18"/>
        </w:rPr>
      </w:pPr>
      <w:r w:rsidRPr="009B1F49">
        <w:rPr>
          <w:color w:val="auto"/>
          <w:sz w:val="18"/>
          <w:szCs w:val="18"/>
        </w:rPr>
        <w:t xml:space="preserve">Het rapport ‘’Uniformeren van meten, bemonsteren en dataverwerking van </w:t>
      </w:r>
      <w:r>
        <w:rPr>
          <w:color w:val="auto"/>
          <w:sz w:val="18"/>
          <w:szCs w:val="18"/>
        </w:rPr>
        <w:t>RWZI</w:t>
      </w:r>
      <w:r w:rsidRPr="009B1F49">
        <w:rPr>
          <w:color w:val="auto"/>
          <w:sz w:val="18"/>
          <w:szCs w:val="18"/>
        </w:rPr>
        <w:t xml:space="preserve">’s’’ (STOWA-rapport 03-2010) vormt niet alleen voor </w:t>
      </w:r>
      <w:r>
        <w:rPr>
          <w:color w:val="auto"/>
          <w:sz w:val="18"/>
          <w:szCs w:val="18"/>
        </w:rPr>
        <w:t>RWZI</w:t>
      </w:r>
      <w:r w:rsidRPr="009B1F49">
        <w:rPr>
          <w:color w:val="auto"/>
          <w:sz w:val="18"/>
          <w:szCs w:val="18"/>
        </w:rPr>
        <w:t>’s maar ook voor bedrijven een interessante informatiebron. Achter in deze toelichting zijn nog diverse websites genoemd als informatiebron.</w:t>
      </w:r>
    </w:p>
    <w:p w14:paraId="59F98CC5" w14:textId="1118A17F" w:rsidR="001D54BA" w:rsidRPr="00DD4703" w:rsidRDefault="009B027E" w:rsidP="00303688">
      <w:pPr>
        <w:pStyle w:val="Plattetekst"/>
        <w:spacing w:line="276" w:lineRule="auto"/>
        <w:rPr>
          <w:rFonts w:cs="Arial"/>
        </w:rPr>
      </w:pPr>
      <w:r w:rsidRPr="009B1F49">
        <w:rPr>
          <w:rFonts w:cs="Arial"/>
          <w:b/>
          <w:sz w:val="18"/>
          <w:szCs w:val="18"/>
        </w:rPr>
        <w:t>Aanvullende toelichting geldigheid Waterregeling/NEN6600-1</w:t>
      </w:r>
      <w:r w:rsidRPr="009B1F49">
        <w:rPr>
          <w:rFonts w:cs="Arial"/>
          <w:sz w:val="18"/>
          <w:szCs w:val="18"/>
        </w:rPr>
        <w:br/>
      </w:r>
      <w:r w:rsidR="00303688" w:rsidRPr="00303688">
        <w:rPr>
          <w:rFonts w:cs="Arial"/>
          <w:sz w:val="18"/>
          <w:szCs w:val="18"/>
        </w:rPr>
        <w:t xml:space="preserve">Voor sommige voorschriften sluiten de Waterregeling en NEN 6600-1 niet goed op elkaar aan. Voor </w:t>
      </w:r>
      <w:proofErr w:type="spellStart"/>
      <w:r w:rsidR="00303688" w:rsidRPr="00303688">
        <w:rPr>
          <w:rFonts w:cs="Arial"/>
          <w:sz w:val="18"/>
          <w:szCs w:val="18"/>
        </w:rPr>
        <w:t>heffingsplichtige</w:t>
      </w:r>
      <w:proofErr w:type="spellEnd"/>
      <w:r w:rsidR="00303688" w:rsidRPr="00303688">
        <w:rPr>
          <w:rFonts w:cs="Arial"/>
          <w:sz w:val="18"/>
          <w:szCs w:val="18"/>
        </w:rPr>
        <w:t xml:space="preserve"> bedrijven is juridisch gezien de Waterregeling hoofdstuk 7 leidend en dus uitgangspunt. In overige situaties kan de NEN 6600-1 als meest gangbaar uitgangspunt worden gezien, vanwege de diepgang en omdat hierin de laatst voortschrijdende inzichten zijn verwerkt. Wij merken op dat er wel sprake is van nuanceverschillen op verschillende voorschriften. Waar van toepassing, benoemen wij deze. In enkele gevallen is de wijze van monsterneming voorgeschreven in de Omgevingswet, en, indien afgegeven, het maatwerkvoorschrift of omgevingsvergunning.</w:t>
      </w:r>
      <w:r w:rsidR="001D54BA" w:rsidRPr="00DD4703">
        <w:rPr>
          <w:rFonts w:cs="Arial"/>
        </w:rPr>
        <w:br w:type="page"/>
      </w:r>
    </w:p>
    <w:p w14:paraId="559A4718" w14:textId="77777777" w:rsidR="00DB30CD" w:rsidRPr="00DD4703" w:rsidRDefault="00DB30CD" w:rsidP="00DB30CD">
      <w:pPr>
        <w:overflowPunct w:val="0"/>
        <w:autoSpaceDE w:val="0"/>
        <w:adjustRightInd w:val="0"/>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59D28443" w14:textId="77777777" w:rsidTr="00DD4703">
        <w:tc>
          <w:tcPr>
            <w:tcW w:w="5000" w:type="pct"/>
            <w:shd w:val="clear" w:color="auto" w:fill="CCCCCC"/>
          </w:tcPr>
          <w:p w14:paraId="1AA6424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1. Algemene gegevens</w:t>
            </w:r>
          </w:p>
          <w:p w14:paraId="77498078"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7C28E42A"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47C619B1"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15D46DA6"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117F44B0"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 de meeste gevallen is dit de milieucoördinator/ SHE Specialist. </w:t>
      </w:r>
    </w:p>
    <w:p w14:paraId="5A7ABD12"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31B45107"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w:t>
      </w:r>
    </w:p>
    <w:p w14:paraId="6D954C30"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Indien de controle verspreid is uitgevoerd over meerdere dagen alle dagen vermelden</w:t>
      </w:r>
    </w:p>
    <w:p w14:paraId="1398B4B1" w14:textId="77777777" w:rsidR="00DB30CD" w:rsidRPr="00DD4703" w:rsidRDefault="00DB30CD" w:rsidP="00DB30CD">
      <w:pPr>
        <w:numPr>
          <w:ilvl w:val="0"/>
          <w:numId w:val="1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Hier kan worden aangegeven welke persoon/personen van het bedrijf en RWS betrokken zijn geweest bij </w:t>
      </w:r>
      <w:r w:rsidR="009A3F43" w:rsidRPr="00DD4703">
        <w:rPr>
          <w:rFonts w:eastAsia="Times New Roman" w:cs="Arial"/>
          <w:color w:val="auto"/>
        </w:rPr>
        <w:t xml:space="preserve">de controle van het </w:t>
      </w:r>
      <w:r w:rsidR="00D84033" w:rsidRPr="00DD4703">
        <w:rPr>
          <w:rFonts w:eastAsia="Times New Roman" w:cs="Arial"/>
          <w:color w:val="auto"/>
        </w:rPr>
        <w:t>M&amp;R</w:t>
      </w:r>
      <w:r w:rsidRPr="00DD4703">
        <w:rPr>
          <w:rFonts w:eastAsia="Times New Roman" w:cs="Arial"/>
          <w:color w:val="auto"/>
        </w:rPr>
        <w:t>-systeem.</w:t>
      </w:r>
    </w:p>
    <w:p w14:paraId="68B1A81E" w14:textId="77777777" w:rsidR="004E43FF" w:rsidRDefault="004E43FF">
      <w:pPr>
        <w:spacing w:line="240" w:lineRule="auto"/>
        <w:rPr>
          <w:rFonts w:eastAsia="Times New Roman" w:cs="Arial"/>
          <w:color w:val="auto"/>
        </w:rPr>
      </w:pPr>
    </w:p>
    <w:p w14:paraId="028B6CBB" w14:textId="77777777" w:rsidR="00DB30CD" w:rsidRPr="00DD4703" w:rsidRDefault="00DB30CD" w:rsidP="00DB30CD">
      <w:pPr>
        <w:overflowPunct w:val="0"/>
        <w:autoSpaceDE w:val="0"/>
        <w:adjustRightInd w:val="0"/>
        <w:spacing w:line="240" w:lineRule="auto"/>
        <w:ind w:left="705" w:hanging="705"/>
        <w:rPr>
          <w:rFonts w:eastAsia="Times New Roman" w:cs="Arial"/>
          <w:color w:val="auto"/>
        </w:rPr>
      </w:pPr>
    </w:p>
    <w:p w14:paraId="2DB8340A" w14:textId="5516D77B" w:rsidR="00DB30CD" w:rsidRPr="00FB1682"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Times New Roman"/>
          <w:color w:val="auto"/>
        </w:rPr>
        <w:br w:type="page"/>
      </w:r>
      <w:r w:rsidRPr="00A47BFA">
        <w:rPr>
          <w:rFonts w:eastAsia="Times New Roman" w:cs="Times New Roman"/>
          <w:b/>
          <w:color w:val="auto"/>
        </w:rPr>
        <w:lastRenderedPageBreak/>
        <w:t xml:space="preserve">TOELICHTING </w:t>
      </w:r>
      <w:r w:rsidRPr="00FB1682">
        <w:rPr>
          <w:rFonts w:eastAsia="Times New Roman" w:cs="Arial"/>
          <w:b/>
          <w:color w:val="auto"/>
        </w:rPr>
        <w:t>DEBIETMETING</w:t>
      </w:r>
    </w:p>
    <w:p w14:paraId="0EB11E3B"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p>
    <w:p w14:paraId="3BE1728F"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bookmarkStart w:id="1" w:name="OLE_LINK1"/>
      <w:bookmarkStart w:id="2" w:name="OLE_LINK2"/>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66645C9C" w14:textId="77777777" w:rsidTr="00DD4703">
        <w:tc>
          <w:tcPr>
            <w:tcW w:w="5000" w:type="pct"/>
            <w:shd w:val="clear" w:color="auto" w:fill="CCCCCC"/>
          </w:tcPr>
          <w:p w14:paraId="52F4A978" w14:textId="137BD583" w:rsidR="00DB30CD" w:rsidRPr="00B5311F" w:rsidRDefault="00B5311F" w:rsidP="00B5311F">
            <w:pPr>
              <w:pStyle w:val="Lijstalinea"/>
              <w:numPr>
                <w:ilvl w:val="0"/>
                <w:numId w:val="38"/>
              </w:num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t>Algemene gegevens</w:t>
            </w:r>
          </w:p>
          <w:p w14:paraId="0F16526A"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7595FA40" w14:textId="77777777" w:rsidR="00B5311F" w:rsidRPr="00B5311F" w:rsidRDefault="00B5311F" w:rsidP="00B5311F">
      <w:pPr>
        <w:overflowPunct w:val="0"/>
        <w:autoSpaceDE w:val="0"/>
        <w:adjustRightInd w:val="0"/>
        <w:spacing w:line="240" w:lineRule="auto"/>
        <w:rPr>
          <w:rFonts w:eastAsia="Times New Roman" w:cs="Arial"/>
        </w:rPr>
      </w:pPr>
      <w:r w:rsidRPr="00B5311F">
        <w:rPr>
          <w:rFonts w:eastAsia="Times New Roman" w:cs="Arial"/>
        </w:rPr>
        <w:t>a.</w:t>
      </w:r>
      <w:r w:rsidRPr="00B5311F">
        <w:rPr>
          <w:rFonts w:eastAsia="Times New Roman" w:cs="Arial"/>
        </w:rPr>
        <w:tab/>
        <w:t>-</w:t>
      </w:r>
    </w:p>
    <w:p w14:paraId="15AE5BAB" w14:textId="77777777" w:rsidR="00B5311F" w:rsidRPr="00B5311F" w:rsidRDefault="00B5311F" w:rsidP="00B5311F">
      <w:pPr>
        <w:overflowPunct w:val="0"/>
        <w:autoSpaceDE w:val="0"/>
        <w:adjustRightInd w:val="0"/>
        <w:spacing w:line="240" w:lineRule="auto"/>
        <w:rPr>
          <w:rFonts w:eastAsia="Times New Roman" w:cs="Arial"/>
        </w:rPr>
      </w:pPr>
      <w:r w:rsidRPr="00B5311F">
        <w:rPr>
          <w:rFonts w:eastAsia="Times New Roman" w:cs="Arial"/>
        </w:rPr>
        <w:t>b.</w:t>
      </w:r>
      <w:r w:rsidRPr="00B5311F">
        <w:rPr>
          <w:rFonts w:eastAsia="Times New Roman" w:cs="Arial"/>
        </w:rPr>
        <w:tab/>
        <w:t>-</w:t>
      </w:r>
    </w:p>
    <w:p w14:paraId="5CFF70AF" w14:textId="77777777" w:rsidR="00B5311F" w:rsidRPr="00B5311F" w:rsidRDefault="00B5311F" w:rsidP="00B5311F">
      <w:pPr>
        <w:overflowPunct w:val="0"/>
        <w:autoSpaceDE w:val="0"/>
        <w:adjustRightInd w:val="0"/>
        <w:spacing w:line="240" w:lineRule="auto"/>
        <w:rPr>
          <w:rFonts w:eastAsia="Times New Roman" w:cs="Arial"/>
        </w:rPr>
      </w:pPr>
      <w:r w:rsidRPr="00B5311F">
        <w:rPr>
          <w:rFonts w:eastAsia="Times New Roman" w:cs="Arial"/>
        </w:rPr>
        <w:t>c.</w:t>
      </w:r>
      <w:r w:rsidRPr="00B5311F">
        <w:rPr>
          <w:rFonts w:eastAsia="Times New Roman" w:cs="Arial"/>
        </w:rPr>
        <w:tab/>
        <w:t>-</w:t>
      </w:r>
    </w:p>
    <w:p w14:paraId="4E92C0F1" w14:textId="77777777" w:rsidR="00B5311F" w:rsidRPr="00B5311F" w:rsidRDefault="00B5311F" w:rsidP="00B5311F">
      <w:pPr>
        <w:overflowPunct w:val="0"/>
        <w:autoSpaceDE w:val="0"/>
        <w:adjustRightInd w:val="0"/>
        <w:spacing w:line="240" w:lineRule="auto"/>
        <w:rPr>
          <w:rFonts w:eastAsia="Times New Roman" w:cs="Arial"/>
        </w:rPr>
      </w:pPr>
      <w:r w:rsidRPr="00B5311F">
        <w:rPr>
          <w:rFonts w:eastAsia="Times New Roman" w:cs="Arial"/>
        </w:rPr>
        <w:t>d.</w:t>
      </w:r>
      <w:r w:rsidRPr="00B5311F">
        <w:rPr>
          <w:rFonts w:eastAsia="Times New Roman" w:cs="Arial"/>
        </w:rPr>
        <w:tab/>
        <w:t xml:space="preserve">In de meeste gevallen is dit de milieucoördinator/ SHE Specialist. </w:t>
      </w:r>
    </w:p>
    <w:p w14:paraId="6F00AF72" w14:textId="77777777" w:rsidR="00B5311F" w:rsidRPr="00B5311F" w:rsidRDefault="00B5311F" w:rsidP="00B5311F">
      <w:pPr>
        <w:overflowPunct w:val="0"/>
        <w:autoSpaceDE w:val="0"/>
        <w:adjustRightInd w:val="0"/>
        <w:spacing w:line="240" w:lineRule="auto"/>
        <w:rPr>
          <w:rFonts w:eastAsia="Times New Roman" w:cs="Arial"/>
        </w:rPr>
      </w:pPr>
      <w:r w:rsidRPr="00B5311F">
        <w:rPr>
          <w:rFonts w:eastAsia="Times New Roman" w:cs="Arial"/>
        </w:rPr>
        <w:t>e.</w:t>
      </w:r>
      <w:r w:rsidRPr="00B5311F">
        <w:rPr>
          <w:rFonts w:eastAsia="Times New Roman" w:cs="Arial"/>
        </w:rPr>
        <w:tab/>
        <w:t>-</w:t>
      </w:r>
    </w:p>
    <w:p w14:paraId="085796B6" w14:textId="77777777" w:rsidR="00B5311F" w:rsidRPr="00B5311F" w:rsidRDefault="00B5311F" w:rsidP="00B5311F">
      <w:pPr>
        <w:overflowPunct w:val="0"/>
        <w:autoSpaceDE w:val="0"/>
        <w:adjustRightInd w:val="0"/>
        <w:spacing w:line="240" w:lineRule="auto"/>
        <w:rPr>
          <w:rFonts w:eastAsia="Times New Roman" w:cs="Arial"/>
        </w:rPr>
      </w:pPr>
      <w:r w:rsidRPr="00B5311F">
        <w:rPr>
          <w:rFonts w:eastAsia="Times New Roman" w:cs="Arial"/>
        </w:rPr>
        <w:t>f.</w:t>
      </w:r>
      <w:r w:rsidRPr="00B5311F">
        <w:rPr>
          <w:rFonts w:eastAsia="Times New Roman" w:cs="Arial"/>
        </w:rPr>
        <w:tab/>
        <w:t>-</w:t>
      </w:r>
    </w:p>
    <w:p w14:paraId="233D85FB" w14:textId="77777777" w:rsidR="00B5311F" w:rsidRPr="00B5311F" w:rsidRDefault="00B5311F" w:rsidP="00B5311F">
      <w:pPr>
        <w:overflowPunct w:val="0"/>
        <w:autoSpaceDE w:val="0"/>
        <w:adjustRightInd w:val="0"/>
        <w:spacing w:line="240" w:lineRule="auto"/>
        <w:rPr>
          <w:rFonts w:eastAsia="Times New Roman" w:cs="Arial"/>
        </w:rPr>
      </w:pPr>
      <w:r w:rsidRPr="00B5311F">
        <w:rPr>
          <w:rFonts w:eastAsia="Times New Roman" w:cs="Arial"/>
        </w:rPr>
        <w:t>g.</w:t>
      </w:r>
      <w:r w:rsidRPr="00B5311F">
        <w:rPr>
          <w:rFonts w:eastAsia="Times New Roman" w:cs="Arial"/>
        </w:rPr>
        <w:tab/>
        <w:t>Indien de controle verspreid is uitgevoerd over meerdere dagen alle dagen vermelden</w:t>
      </w:r>
    </w:p>
    <w:p w14:paraId="3341BE0A" w14:textId="0A49BB10" w:rsidR="00DB30CD" w:rsidRDefault="00B5311F" w:rsidP="00B5311F">
      <w:pPr>
        <w:overflowPunct w:val="0"/>
        <w:autoSpaceDE w:val="0"/>
        <w:adjustRightInd w:val="0"/>
        <w:spacing w:line="240" w:lineRule="auto"/>
        <w:rPr>
          <w:rFonts w:eastAsia="Times New Roman" w:cs="Arial"/>
        </w:rPr>
      </w:pPr>
      <w:r w:rsidRPr="00B5311F">
        <w:rPr>
          <w:rFonts w:eastAsia="Times New Roman" w:cs="Arial"/>
        </w:rPr>
        <w:t>h.</w:t>
      </w:r>
      <w:r w:rsidRPr="00B5311F">
        <w:rPr>
          <w:rFonts w:eastAsia="Times New Roman" w:cs="Arial"/>
        </w:rPr>
        <w:tab/>
        <w:t>Hier kan worden aangegeven welke persoon/personen van het bedrijf en RWS betrokken zijn geweest bij de controle van het M&amp;R-systeem.</w:t>
      </w:r>
    </w:p>
    <w:p w14:paraId="58395049" w14:textId="7913E8B9" w:rsidR="00B5311F" w:rsidRDefault="00B5311F" w:rsidP="00DB30CD">
      <w:pPr>
        <w:overflowPunct w:val="0"/>
        <w:autoSpaceDE w:val="0"/>
        <w:adjustRightInd w:val="0"/>
        <w:spacing w:line="240" w:lineRule="auto"/>
        <w:rPr>
          <w:rFonts w:eastAsia="Times New Roman" w:cs="Arial"/>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4B4005" w:rsidRPr="00DD4703" w14:paraId="38B60826" w14:textId="77777777" w:rsidTr="0048155A">
        <w:tc>
          <w:tcPr>
            <w:tcW w:w="5000" w:type="pct"/>
            <w:shd w:val="clear" w:color="auto" w:fill="CCCCCC"/>
          </w:tcPr>
          <w:p w14:paraId="785350E7" w14:textId="277169E0" w:rsidR="004B4005" w:rsidRPr="00DD4703" w:rsidRDefault="00067A3F" w:rsidP="0048155A">
            <w:p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t>2.</w:t>
            </w:r>
            <w:r w:rsidR="004B4005" w:rsidRPr="00DD4703">
              <w:rPr>
                <w:rFonts w:eastAsia="Times New Roman" w:cs="Arial"/>
                <w:b/>
                <w:color w:val="auto"/>
              </w:rPr>
              <w:t>1 Meetdoel</w:t>
            </w:r>
          </w:p>
          <w:p w14:paraId="2F53B0E5" w14:textId="77777777" w:rsidR="004B4005" w:rsidRPr="00DD4703" w:rsidRDefault="004B4005" w:rsidP="0048155A">
            <w:pPr>
              <w:tabs>
                <w:tab w:val="left" w:pos="284"/>
              </w:tabs>
              <w:overflowPunct w:val="0"/>
              <w:autoSpaceDE w:val="0"/>
              <w:adjustRightInd w:val="0"/>
              <w:spacing w:line="240" w:lineRule="auto"/>
              <w:rPr>
                <w:rFonts w:eastAsia="Times New Roman" w:cs="Arial"/>
                <w:b/>
                <w:color w:val="auto"/>
              </w:rPr>
            </w:pPr>
          </w:p>
        </w:tc>
      </w:tr>
    </w:tbl>
    <w:p w14:paraId="3A63742B" w14:textId="77777777" w:rsidR="004B4005" w:rsidRPr="00DD4703" w:rsidRDefault="004B4005" w:rsidP="004B4005">
      <w:pPr>
        <w:overflowPunct w:val="0"/>
        <w:autoSpaceDE w:val="0"/>
        <w:adjustRightInd w:val="0"/>
        <w:spacing w:line="240" w:lineRule="auto"/>
        <w:rPr>
          <w:rFonts w:eastAsia="Times New Roman" w:cs="Arial"/>
        </w:rPr>
      </w:pPr>
    </w:p>
    <w:p w14:paraId="146C71B6" w14:textId="77777777" w:rsidR="004B4005" w:rsidRPr="00DD4703" w:rsidRDefault="004B4005" w:rsidP="004B4005">
      <w:pPr>
        <w:numPr>
          <w:ilvl w:val="0"/>
          <w:numId w:val="23"/>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rPr>
        <w:t>Het doel van de meting bepaalt de randvoorwaarden van de meetsituatie zoals locatie van meting, betrouwbaarheid, onderhoud en dataregistratie. Het is dan ook van belang om dit van te voren inzichtelijk te hebben.</w:t>
      </w:r>
    </w:p>
    <w:p w14:paraId="0BD3EC0F" w14:textId="77777777" w:rsidR="004B4005" w:rsidRDefault="004B4005" w:rsidP="00DB30CD">
      <w:pPr>
        <w:overflowPunct w:val="0"/>
        <w:autoSpaceDE w:val="0"/>
        <w:adjustRightInd w:val="0"/>
        <w:spacing w:line="240" w:lineRule="auto"/>
        <w:rPr>
          <w:rFonts w:eastAsia="Times New Roman" w:cs="Arial"/>
        </w:rPr>
      </w:pPr>
    </w:p>
    <w:p w14:paraId="1969E266"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3329CACC" w14:textId="77777777" w:rsidTr="00DD4703">
        <w:tc>
          <w:tcPr>
            <w:tcW w:w="5000" w:type="pct"/>
            <w:shd w:val="clear" w:color="auto" w:fill="CCCCCC"/>
          </w:tcPr>
          <w:p w14:paraId="0E1F33E8" w14:textId="2768635C"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r w:rsidRPr="00DD4703">
              <w:rPr>
                <w:rFonts w:eastAsia="Times New Roman" w:cs="Arial"/>
                <w:b/>
                <w:color w:val="auto"/>
              </w:rPr>
              <w:t>2.</w:t>
            </w:r>
            <w:r w:rsidR="00067A3F">
              <w:rPr>
                <w:rFonts w:eastAsia="Times New Roman" w:cs="Arial"/>
                <w:b/>
                <w:color w:val="auto"/>
              </w:rPr>
              <w:t>2</w:t>
            </w:r>
            <w:r w:rsidRPr="00DD4703">
              <w:rPr>
                <w:rFonts w:eastAsia="Times New Roman" w:cs="Arial"/>
                <w:b/>
                <w:color w:val="auto"/>
              </w:rPr>
              <w:t xml:space="preserve"> debietmeting</w:t>
            </w:r>
          </w:p>
          <w:p w14:paraId="5E16FE61"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25103461" w14:textId="77777777" w:rsidR="00DB30CD" w:rsidRPr="00DD4703" w:rsidRDefault="00DB30CD" w:rsidP="00DB30CD">
      <w:pPr>
        <w:numPr>
          <w:ilvl w:val="0"/>
          <w:numId w:val="24"/>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wijze van debietmeting is grofweg op te delen naar gesloten en open meetsystemen. Beide systemen verschillen aanzienlijk van aard en dient eerst te worden vastgesteld om de juiste route te kiezen in de checklijst. Bij open systemen staat het oppervlak van het stromende water in direct contact met de buitenlucht. Bij gesloten systemen is dit niet het geval.</w:t>
      </w:r>
      <w:r w:rsidRPr="00DD4703">
        <w:rPr>
          <w:rFonts w:eastAsia="Times New Roman" w:cs="Arial"/>
          <w:color w:val="auto"/>
        </w:rPr>
        <w:br/>
      </w: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1671C87F" w14:textId="77777777" w:rsidTr="00DD4703">
        <w:tc>
          <w:tcPr>
            <w:tcW w:w="5000" w:type="pct"/>
            <w:shd w:val="clear" w:color="auto" w:fill="CCCCCC"/>
          </w:tcPr>
          <w:p w14:paraId="79B6243C" w14:textId="08DBA8EF" w:rsidR="00DB30CD" w:rsidRPr="00DD4703" w:rsidRDefault="00067A3F" w:rsidP="00DB30CD">
            <w:p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t>2.3</w:t>
            </w:r>
            <w:r w:rsidR="00DB30CD" w:rsidRPr="00DD4703">
              <w:rPr>
                <w:rFonts w:eastAsia="Times New Roman" w:cs="Arial"/>
                <w:b/>
                <w:color w:val="auto"/>
              </w:rPr>
              <w:t xml:space="preserve"> Gesloten meetsysteem</w:t>
            </w:r>
          </w:p>
          <w:p w14:paraId="5B98F813"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26257094"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r w:rsidRPr="00DD4703">
        <w:rPr>
          <w:rFonts w:eastAsia="Times New Roman" w:cs="Arial"/>
          <w:color w:val="auto"/>
        </w:rPr>
        <w:t>De vragen van dit onderdeel dienen alleen ingevuld te worden indien de debietmeting plaatsvindt middels een gesloten meetsysteem.</w:t>
      </w:r>
    </w:p>
    <w:p w14:paraId="055C9956"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Inventariseer welk type watermeter wordt toegepast en op welke locatie. De gegevens hiervoor zijn te herleiden uit het kalibratiecertificaat, van de watermeter zelf of uit de aanvraag meetbeschikking. Meest gangbare gesloten debietmeetsysteem is de elektromagnetische flowmeter (EMF) ook wel magnetisch inductieve debietmeter (MID) genoemd. Voor schone waterstromen vinden ook nog mechanische meters toepassing (o.a. Woltmann). Dit laatste type kan niet droog gekalibreerd worden (zie vraag 3b).</w:t>
      </w:r>
    </w:p>
    <w:p w14:paraId="4C733B3A"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Volgens de Waterregeling dient jaarlijks een droge kalibratie te worden uitgevoerd. Bij een droge kalibratie wordt de flowmeter met behulp van een kalibrator elektronisch getest. Hierbij worden vier verschillende meetgebieden binnen het ingestelde meetbereik gekalibreerd. Daarnaast worden de pulsuitgang, mA-uitgang en de meetbuisspoel alsmede de gekoppelde randapparatuur op een juiste werking en registratie gecontroleerd. In feite is deze kalibratie dus een simulatie van de elektronische componenten. Aan de hand van kalibratierapporten en/of onderhoudscontracten kan worden nagegaan of de kalibratie jaarlijks wordt uitgevoerd en door wie. Het jaarlijks droog kalibreren hoeft niet plaats te vinden wanneer in datzelfde jaar een natte kalibratie heeft plaats gevonden. Indien de Waterregeling niet van toepassing is (indien geen sprake is van innen verontreinigingsheffing zoals bijv. koelwater) is de kalibratieplicht niet expliciet voorgeschreven. Omdat in een </w:t>
      </w:r>
      <w:r w:rsidR="001D54BA" w:rsidRPr="00DD4703">
        <w:rPr>
          <w:rFonts w:eastAsia="Times New Roman" w:cs="Arial"/>
          <w:color w:val="auto"/>
        </w:rPr>
        <w:t>Watervergunning</w:t>
      </w:r>
      <w:r w:rsidRPr="00DD4703">
        <w:rPr>
          <w:rFonts w:eastAsia="Times New Roman" w:cs="Arial"/>
          <w:color w:val="auto"/>
        </w:rPr>
        <w:t xml:space="preserve"> normaliter een zorgplicht op wordt gelegd voor het doelmatig functioneren en in goed staat van onderhoud verkeren van meet- en controlevoorzieningen is kalibratie vanuit deze zorgplicht wel gewenst.</w:t>
      </w:r>
    </w:p>
    <w:p w14:paraId="7BB408BE"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Zowel het absolute als het procentuele verschil van meetafwijkingen moet vermeld worden. Uit de bijzonderheden of conclusie op het inspectierapport blijkt of er te grote meetafwijkingen zijn geconstateerd (toegestaan is max. 5%). Indien dit het geval is, dient te worden nagegaan welke maatregelen genomen zijn om deze afwijkingen op te heffen. Hierbij dient aandacht besteed te worden aan eventuele vervanging (melding bevoegd gezag!) uitbouw en onderhoud dan wel uitvoering natte kalibratie.</w:t>
      </w:r>
      <w:r w:rsidRPr="00DD4703">
        <w:rPr>
          <w:rFonts w:eastAsia="Times New Roman" w:cs="Arial"/>
          <w:color w:val="auto"/>
        </w:rPr>
        <w:br/>
      </w:r>
      <w:r w:rsidRPr="00DD4703">
        <w:rPr>
          <w:rFonts w:eastAsia="Times New Roman" w:cs="Arial"/>
          <w:color w:val="auto"/>
        </w:rPr>
        <w:lastRenderedPageBreak/>
        <w:t xml:space="preserve">Hoewel in de Waterregeling uitbouw en inspectie wordt genoemd als onderdeel van de droge kalibratie is dit in de praktijk nog nauwelijks gangbaar. Reden hiervan is dat uitbouw en inbouw juist meetfouten kan initiëren en praktisch problemen kan geven. </w:t>
      </w:r>
      <w:r w:rsidRPr="00DD4703">
        <w:rPr>
          <w:rFonts w:eastAsia="Times New Roman" w:cs="Arial"/>
          <w:color w:val="auto"/>
        </w:rPr>
        <w:br/>
        <w:t>Bij een kalibratie in eigen beheer dient extra aandacht te zijn gericht op volledigheid en juistheid van de kalibratie.</w:t>
      </w:r>
    </w:p>
    <w:p w14:paraId="44C057B6"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Volgens de Waterregeling dient per vijf jaar een natte kalibratie te worden uitgevoerd. Bij een natte kalibratie wordt daadwerkelijk een nauwkeurig bekende hoeveelheid water door de te kalibreren meter geleid. In de praktijk gebeurt dit door een tweede flowmeter (referentiemeter) in serie te plaatsen. De uitvoering kan plaatsvinden door de te kalibreren flowmeter uit te bouwen en deze te plaatsen op een ijkbank waarin de referentiemeter reeds is opgenomen of door de referentiemeter op locatie te plaatsen in serie (in-situ) met de te kalibreren flowmeter. In de eerste situatie worden de afwijkingen in het meetsysteem niet gesignaleerd.</w:t>
      </w:r>
      <w:r w:rsidRPr="00DD4703">
        <w:rPr>
          <w:rFonts w:eastAsia="Times New Roman" w:cs="Arial"/>
          <w:color w:val="auto"/>
        </w:rPr>
        <w:br/>
        <w:t>Bij een insitu kalibratie op locatie worden naast het meetinstrument ook afwijkingen gesignaleerd, veroorzaakt door foutieve maatvoeringen, constructies, inbouwcondities, luchtinslag, lekkende terugslag kleppen, sterke vervuiling,</w:t>
      </w:r>
      <w:r w:rsidR="00614065" w:rsidRPr="00DD4703">
        <w:rPr>
          <w:rFonts w:eastAsia="Times New Roman" w:cs="Arial"/>
          <w:color w:val="auto"/>
        </w:rPr>
        <w:t xml:space="preserve"> </w:t>
      </w:r>
      <w:r w:rsidRPr="00DD4703">
        <w:rPr>
          <w:rFonts w:eastAsia="Times New Roman" w:cs="Arial"/>
          <w:color w:val="auto"/>
        </w:rPr>
        <w:t>e.d.</w:t>
      </w:r>
      <w:r w:rsidRPr="00DD4703">
        <w:rPr>
          <w:rFonts w:eastAsia="Times New Roman" w:cs="Arial"/>
          <w:color w:val="auto"/>
        </w:rPr>
        <w:br/>
        <w:t>De te gebruiken referentiemeter(s) zijn herleidbaar naar de nationale volumestandaard van het Nederlands Meetinstituut (NMi). Op een ijkbank bestaat de mogelijkheid om te ijken op meerdere verschillende debieten verdeeld over het meetgebied van de meter. Bij een in-situ kalibratie bestaat deze mogelijkheid niet altijd. Van belang bij in-situ natte kalibratie is dat deze plaatsvindt in het meetgebied waarin de flowmeter in de praktijk werkt. Een nieuw aangeschafte watermeter is normaliter af-fabriek nat gekalibreerd (af-fabriek certificaat) waardoor 5 jaar na aanschaf normaliter de volgende natte kalibratie wordt geagendeerd.</w:t>
      </w:r>
      <w:r w:rsidRPr="00DD4703">
        <w:rPr>
          <w:rFonts w:eastAsia="Times New Roman" w:cs="Arial"/>
          <w:color w:val="auto"/>
        </w:rPr>
        <w:br/>
        <w:t>Aan de hand van kalibratierapporten en/of onderhoudscontracten kan worden nagegaan of de natte kalibratie met de juiste frequentie en werkwijze wordt uitgevoerd en door wie. Daarbij dient bij meerdere debietmeters er op gelet te worden dat het juiste kalibratiecertificaat wordt beoordeeld.</w:t>
      </w:r>
    </w:p>
    <w:p w14:paraId="21F1B02B"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Uit de kalibratierapporten blijkt of er te grote meetafwijkingen zijn geconstateerd (toegestaan is max. 5%). Indien dit het geval is, dient te worden nagegaan welke maatregelen genomen zijn om deze afwijkingen op te heffen. Als eventuele verontreiniging/afzetting in de meetbuis is weggehaald na de kalibratie dient de natte kalibratie daarna opnieuw te worden verricht. </w:t>
      </w:r>
    </w:p>
    <w:p w14:paraId="50002D4C"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op welke wijze de uitvoering van kalibratie/onderhoud is georganiseerd en geborgd. Veelal is de taak tot kalibratie in een onderhoudsprogramma geagendeerd, waarbij de kalibratie zelf wordt uitbesteed aan een externe deskundige. Aanvullend onderhoud op de jaarlijkse kalibratie is voor gesloten meetsystemen niet gebruikelijk.</w:t>
      </w:r>
    </w:p>
    <w:p w14:paraId="31D6A7FC"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wijze van overbrenging van het door de debietmeter geregistreerde debiet in het registratiesysteem is grofweg op te delen naar een handmatig en geautomatiseerd systeem. Bij een directe koppeling met een procesinformatiesysteem zijn real-time debietgegevens voorhanden en kan naar gelang behoefte, gegevens zoals een dagdebiet worden gegenereerd. In het algemeen kunnen de procesdata naar een </w:t>
      </w:r>
      <w:r w:rsidR="00440996" w:rsidRPr="00DD4703">
        <w:rPr>
          <w:rFonts w:eastAsia="Times New Roman" w:cs="Arial"/>
          <w:color w:val="auto"/>
        </w:rPr>
        <w:t>Excel file</w:t>
      </w:r>
      <w:r w:rsidRPr="00DD4703">
        <w:rPr>
          <w:rFonts w:eastAsia="Times New Roman" w:cs="Arial"/>
          <w:color w:val="auto"/>
        </w:rPr>
        <w:t xml:space="preserve"> worden geëxporteerd waardoor berekeningen kunnen worden uitgevoerd. De handmatige opname, registratie en overbrenging in een registratiesysteem is bewerkelijker dus met meer kans op fouten en de bewakingsfunctie is achteraf.</w:t>
      </w:r>
    </w:p>
    <w:p w14:paraId="12F72D31"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Om inzicht te krijgen in het flowpatroon dat gemeten wordt, is het van belang om te weten of sprake is van een pompsituatie of vrij verval. In de meeste gevallen is bij een gesloten meetsysteem sprake van een pompsituatie. In dit geval zal het flowpatroon over de debietmeter bepaald worden door de pompcapaciteit en pompregeling. Indien sprake is van een aan-uit regeling van de pomp zal het meetgebied van de debietmeter min of meer overeenkomen met de praktische pompcapaciteit. Indien een frequentiegeregelde pomp wordt toegepast of een vrij verval situatie zal het meetgebied van de debietmeter behoorlijk kunnen variëren. Dan is het uurdebiet na te gaan door bijvoorbeeld de spreiding in het dagdebiet vast te stellen en de lozingsduur per dag.</w:t>
      </w:r>
    </w:p>
    <w:p w14:paraId="2F8D5E95"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 aansluiting op vraag h dient bepaald te worden of het geloosde debiet overwegend ligt in de range &gt; 10% van het maximale meetbereik. Dit geldt als een vuistregel voor beoordeling van de eis uit de Waterregeling dat maximaal 5% van het totale gemeten etmaaldebiet, mag bestaan uit momentane debietwaarden die lager zijn dan 10% van het maximale meetbereik. Het maximale meetbereik kan uit de specificaties (kalibratierapport) van de debietmeter worden gehaald. Wanneer het te meten uurdebiet erg laag is ten opzichte van het maximaal meetbare uurdebiet, betekent dit dat de debietmeter aan de onderkant van het meetgebied meet. In dit gebied (kleiner dan 10% van het maximale debiet) is de meting minder betrouwbaar. Als </w:t>
      </w:r>
      <w:r w:rsidRPr="00DD4703">
        <w:rPr>
          <w:rFonts w:eastAsia="Times New Roman" w:cs="Arial"/>
          <w:color w:val="auto"/>
        </w:rPr>
        <w:lastRenderedPageBreak/>
        <w:t xml:space="preserve">correctiemaatregel kan o.a. het meetgebied worden gewijzigd of het afvoerdebiet worden verhoogd. </w:t>
      </w:r>
      <w:r w:rsidRPr="00DD4703">
        <w:rPr>
          <w:rFonts w:eastAsia="Times New Roman" w:cs="Arial"/>
          <w:color w:val="auto"/>
        </w:rPr>
        <w:br/>
        <w:t xml:space="preserve">Een ander belangrijk criterium voor de betrouwbaarheid van de meting is een voldoende hoge vloeistofsnelheid (&gt; 0,3 m/s). Dit kan beoordeeld worden door het debiet af te zetten tegenover het doorstroomoppervlak van de leiding. </w:t>
      </w:r>
    </w:p>
    <w:p w14:paraId="5D72534B" w14:textId="77777777" w:rsidR="00DB30CD" w:rsidRPr="00DD4703" w:rsidRDefault="00DB30CD" w:rsidP="00DB30CD">
      <w:pPr>
        <w:numPr>
          <w:ilvl w:val="0"/>
          <w:numId w:val="2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Om inspectie en kalibratie van de debietmeter uit te kunnen voeren dient deze goed en veilig toegankelijk te zijn.</w:t>
      </w:r>
    </w:p>
    <w:p w14:paraId="05F243EF" w14:textId="77777777" w:rsidR="00DB30CD" w:rsidRPr="00DD4703" w:rsidRDefault="00DB30CD" w:rsidP="00DB30CD">
      <w:pPr>
        <w:numPr>
          <w:ilvl w:val="0"/>
          <w:numId w:val="25"/>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Voor de montage van een debietmeter gelden de volgende algemene richtlijnen voor een betrouwbare meting: </w:t>
      </w:r>
    </w:p>
    <w:p w14:paraId="3A24D994" w14:textId="77777777" w:rsidR="00DB30CD" w:rsidRPr="00DD4703" w:rsidRDefault="00DB30CD" w:rsidP="00DB30CD">
      <w:pPr>
        <w:numPr>
          <w:ilvl w:val="1"/>
          <w:numId w:val="25"/>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 xml:space="preserve">De debietmeter dient altijd in een volledige watergevulde leiding te meten. De leiding mag dus niet droogvallen of luchtbellen insluiten. Om deze reden wordt bij vrij verval vaak een zgn. ‘verzopen opstelling’ toegepast </w:t>
      </w:r>
      <w:r w:rsidR="005A3D5F" w:rsidRPr="00DD4703">
        <w:rPr>
          <w:rFonts w:eastAsia="Times New Roman" w:cs="Arial"/>
          <w:color w:val="auto"/>
        </w:rPr>
        <w:t>d.w.z.</w:t>
      </w:r>
      <w:r w:rsidRPr="00DD4703">
        <w:rPr>
          <w:rFonts w:eastAsia="Times New Roman" w:cs="Arial"/>
          <w:color w:val="auto"/>
        </w:rPr>
        <w:t xml:space="preserve"> in een lager gedeelte van de leiding. Hierbij dient ervoor gewaakt te worden dat zich geen overmatig sediment op het laagste punt vormt ter plaatse van debietmeter. Ook be- en ontluchting van leidingen vormt een aandachtspunt om enerzijds heveling te voorkomen (bij verticale leidingen) en anderzijds luchtinsluiting (bij horizontale leidingen). </w:t>
      </w:r>
      <w:r w:rsidRPr="00DD4703">
        <w:rPr>
          <w:rFonts w:eastAsia="Times New Roman" w:cs="Arial"/>
          <w:color w:val="auto"/>
        </w:rPr>
        <w:br/>
        <w:t>Een uitzondering vormen speciale debietmeters die juist ontworpen zijn om met gedeeltelijk lege pijpleidingen te functioneren.</w:t>
      </w:r>
    </w:p>
    <w:p w14:paraId="32BBCD9F" w14:textId="77777777" w:rsidR="00DB30CD" w:rsidRPr="00DD4703" w:rsidRDefault="00DB30CD" w:rsidP="00DB30CD">
      <w:pPr>
        <w:numPr>
          <w:ilvl w:val="1"/>
          <w:numId w:val="25"/>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De minimale rechte lengte voor de meetbuis dient minimaal vijf maal de diameter van de meetbuis te bedragen, gerekend vanuit het hart van de meter. De rechte leiding ná de meetbuis dient minimaal twee maal de diameter van de meetbuis te bedragen, gerekend vanuit het hart van de meter. Controleer dit 'op het oog'. Indien het vermoeden bestaat dat de afstanden niet groot genoeg zijn kan dit nagemeten worden. Een uitzondering vormen speciale debietmeters die volgens afwijkende montagevoorschriften kunnen worden aangebracht.</w:t>
      </w:r>
    </w:p>
    <w:p w14:paraId="69CC11D8" w14:textId="77777777" w:rsidR="00DB30CD" w:rsidRPr="00DD4703" w:rsidRDefault="00DB30CD" w:rsidP="00DB30CD">
      <w:pPr>
        <w:numPr>
          <w:ilvl w:val="1"/>
          <w:numId w:val="25"/>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De diameter van de debietmeter is bij voorkeur gelijkwaardig aan de leidingdiameter. Bij een toegepaste kleinere diameter van meetbuis wordt insnoering toegepast van de toe- en afvoerleiding. Deze insnoering mag slechts via een flauwe hellingshoek verlopen om het flowpatroon niet teveel te verstoren. Een richtlijn hiertoe van twee leveranciers is maximaal 8 en 15 graden conisch verloop.</w:t>
      </w:r>
      <w:r w:rsidR="00A47BFA">
        <w:rPr>
          <w:rFonts w:eastAsia="Times New Roman" w:cs="Arial"/>
          <w:color w:val="auto"/>
        </w:rPr>
        <w:t xml:space="preserve"> </w:t>
      </w:r>
      <w:r w:rsidR="00A47BFA">
        <w:rPr>
          <w:rFonts w:eastAsia="Times New Roman" w:cs="Arial"/>
          <w:color w:val="auto"/>
        </w:rPr>
        <w:br/>
      </w:r>
    </w:p>
    <w:p w14:paraId="54D57771" w14:textId="77777777" w:rsidR="00DB30CD" w:rsidRPr="00DD4703" w:rsidRDefault="00DB30CD" w:rsidP="007765CF">
      <w:pPr>
        <w:overflowPunct w:val="0"/>
        <w:autoSpaceDE w:val="0"/>
        <w:autoSpaceDN/>
        <w:adjustRightInd w:val="0"/>
        <w:spacing w:line="240" w:lineRule="auto"/>
        <w:ind w:left="426"/>
        <w:textAlignment w:val="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07BEBF37" w14:textId="77777777" w:rsidTr="00DD4703">
        <w:tc>
          <w:tcPr>
            <w:tcW w:w="5000" w:type="pct"/>
            <w:shd w:val="clear" w:color="auto" w:fill="CCCCCC"/>
          </w:tcPr>
          <w:bookmarkEnd w:id="1"/>
          <w:bookmarkEnd w:id="2"/>
          <w:p w14:paraId="1C53FA14" w14:textId="764DFB2D" w:rsidR="00DB30CD" w:rsidRPr="00DD4703" w:rsidRDefault="00067A3F" w:rsidP="00DB30CD">
            <w:pPr>
              <w:tabs>
                <w:tab w:val="left" w:pos="284"/>
              </w:tabs>
              <w:overflowPunct w:val="0"/>
              <w:autoSpaceDE w:val="0"/>
              <w:adjustRightInd w:val="0"/>
              <w:spacing w:line="240" w:lineRule="auto"/>
              <w:rPr>
                <w:rFonts w:eastAsia="Times New Roman" w:cs="Arial"/>
                <w:b/>
                <w:color w:val="auto"/>
              </w:rPr>
            </w:pPr>
            <w:r>
              <w:rPr>
                <w:rFonts w:eastAsia="Times New Roman" w:cs="Arial"/>
                <w:color w:val="auto"/>
              </w:rPr>
              <w:t>2.</w:t>
            </w:r>
            <w:r w:rsidR="005A3D5F">
              <w:rPr>
                <w:rFonts w:eastAsia="Times New Roman" w:cs="Arial"/>
                <w:color w:val="auto"/>
              </w:rPr>
              <w:br w:type="page"/>
            </w:r>
            <w:r>
              <w:rPr>
                <w:rFonts w:eastAsia="Times New Roman" w:cs="Arial"/>
                <w:b/>
                <w:color w:val="auto"/>
              </w:rPr>
              <w:t>4</w:t>
            </w:r>
            <w:r w:rsidR="00DB30CD" w:rsidRPr="00DD4703">
              <w:rPr>
                <w:rFonts w:eastAsia="Times New Roman" w:cs="Arial"/>
                <w:b/>
                <w:color w:val="auto"/>
              </w:rPr>
              <w:t xml:space="preserve"> Open meetsysteem</w:t>
            </w:r>
          </w:p>
          <w:p w14:paraId="5CAD8471"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3BBA647E"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r w:rsidRPr="00DD4703">
        <w:rPr>
          <w:rFonts w:eastAsia="Times New Roman" w:cs="Arial"/>
          <w:color w:val="auto"/>
        </w:rPr>
        <w:t>De vragen onder ‘4’ dienen slechts ingevuld te worden indien de debietmeting plaatsvindt middels een open meetsysteem.</w:t>
      </w:r>
    </w:p>
    <w:p w14:paraId="78AE027F"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p>
    <w:p w14:paraId="46A2C257" w14:textId="77777777" w:rsidR="00DB30CD" w:rsidRPr="00DD4703" w:rsidRDefault="00DB30CD" w:rsidP="00DB30CD">
      <w:pPr>
        <w:numPr>
          <w:ilvl w:val="0"/>
          <w:numId w:val="26"/>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Inventariseer welk type debietmeting wordt toegepast en op welke locatie. De gegevens hiervoor zijn te herleiden uit het kalibratiecertificaat of uit de aanvraag meetbeschikking. Meest gangbare open meetsysteem is een meetgoot of meetschot waarbij met een ultrasone meting de opstuwingshoogte wordt gemeten. Deze hoogtemeting is een maat voor het debiet. Voor elk type meetgoot of meetschot gelden hiervoor specifieke formules die in de meetversterker/plc geprogrammeerd moet worden om het debiet te kunnen berekenen. </w:t>
      </w:r>
    </w:p>
    <w:p w14:paraId="6D06555A" w14:textId="77777777" w:rsidR="00DB30CD" w:rsidRPr="00DD4703" w:rsidRDefault="00DB30CD" w:rsidP="00DB30CD">
      <w:pPr>
        <w:numPr>
          <w:ilvl w:val="0"/>
          <w:numId w:val="26"/>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verplichting tot jaarlijkse kalibratie en de condities is vastgelegd in de Waterregeling. Aan de hand van kalibratierapporten en/of onderhoudscontracten kan worden nagegaan of de kalibratie jaarlijks wordt uitgevoerd. </w:t>
      </w:r>
      <w:r w:rsidRPr="00DD4703">
        <w:rPr>
          <w:rFonts w:eastAsia="Times New Roman" w:cs="Arial"/>
          <w:color w:val="auto"/>
        </w:rPr>
        <w:br/>
        <w:t>Er is geen expliciete verplichting in de Waterregeling tot de uitvoering van een natte kalibratie omdat dit in de praktijk soms lastig realiseerbaar en kostbaar is. Tegenwoordig vindt dit echter wel steeds meer toepassing gezien de technische mogelijkheden en als middel ter borging van de betrouwbaarheid van de meting.</w:t>
      </w:r>
    </w:p>
    <w:p w14:paraId="27053E0E" w14:textId="77777777" w:rsidR="00DB30CD" w:rsidRPr="00DD4703" w:rsidRDefault="00DB30CD" w:rsidP="00DB30CD">
      <w:pPr>
        <w:numPr>
          <w:ilvl w:val="0"/>
          <w:numId w:val="26"/>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Ga na of de gemeten afwijkingen binnen de marge valt (&lt; 5%). In de Waterregeling wordt voorgeschreven dat bij overstorthoogten van 5, 10, 15, 20 en 25 centimeter de afvoerrelatie dient te worden gecontroleerd. Zowel het absolute als het procentuele verschil moet vermeld worden. </w:t>
      </w:r>
    </w:p>
    <w:p w14:paraId="0F2A6958" w14:textId="77777777" w:rsidR="00DB30CD" w:rsidRPr="00DD4703" w:rsidRDefault="00DB30CD" w:rsidP="00DB30CD">
      <w:pPr>
        <w:numPr>
          <w:ilvl w:val="0"/>
          <w:numId w:val="26"/>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op welke wijze de uitvoering van kalibratie/onderhoud is georganiseerd en geborgd. Veelal is de taak tot kalibratie in een onderhoudsprogramma geagendeerd, waarbij de kalibratie zelf wordt uitbesteed aan een externe deskundige. Onderhoud van de meetgoot om deze schoon te maken en te houden is regelmatig benodigd. Dit komt bij vraag j aan de orde.</w:t>
      </w:r>
    </w:p>
    <w:p w14:paraId="691808AB" w14:textId="77777777" w:rsidR="00DB30CD" w:rsidRPr="00DD4703" w:rsidRDefault="00DB30CD" w:rsidP="00DB30CD">
      <w:pPr>
        <w:numPr>
          <w:ilvl w:val="0"/>
          <w:numId w:val="26"/>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wijze van overbrenging van het door de debietmeter geregistreerde debiet in het registratiesysteem is grofweg op te delen naar een handmatig en geautomatiseerd </w:t>
      </w:r>
      <w:r w:rsidRPr="00DD4703">
        <w:rPr>
          <w:rFonts w:eastAsia="Times New Roman" w:cs="Arial"/>
          <w:color w:val="auto"/>
        </w:rPr>
        <w:lastRenderedPageBreak/>
        <w:t xml:space="preserve">systeem. Bij een directe koppeling met een procesinformatiesysteem zijn real-time debietgegevens voorhanden en kan naar gelang behoefte, gegevens zoals een dagdebiet worden gegenereerd. In het algemeen kunnen de procesdata naar een </w:t>
      </w:r>
      <w:r w:rsidR="00440996" w:rsidRPr="00DD4703">
        <w:rPr>
          <w:rFonts w:eastAsia="Times New Roman" w:cs="Arial"/>
          <w:color w:val="auto"/>
        </w:rPr>
        <w:t>Excel file</w:t>
      </w:r>
      <w:r w:rsidRPr="00DD4703">
        <w:rPr>
          <w:rFonts w:eastAsia="Times New Roman" w:cs="Arial"/>
          <w:color w:val="auto"/>
        </w:rPr>
        <w:t xml:space="preserve"> worden geëxporteerd waardoor berekeningen kunnen worden uitgevoerd. De handmatige opname, registratie en overbrenging in een registratiesysteem is bewerkelijker dus met meer kans op fouten en de bewakingsfunctie is achteraf.</w:t>
      </w:r>
    </w:p>
    <w:p w14:paraId="5A116EB2" w14:textId="77777777" w:rsidR="00DB30CD" w:rsidRPr="00DD4703" w:rsidRDefault="00DB30CD" w:rsidP="00DB30CD">
      <w:pPr>
        <w:numPr>
          <w:ilvl w:val="0"/>
          <w:numId w:val="26"/>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Om inzicht te krijgen in het flowpatroon dat gemeten wordt, is het van belang om te weten of sprake is van een pompsituatie of vrij verval. In de meeste gevallen is bij een open systeem sprake van een vrij verval. In dit geval zal het flowpatroon over de debietmeter bepaald worden door de aanvoer uit de voorliggende inrichting (fabriek, zuivering, utility) en kan variabel van aard zijn. Bij een pompsituatie wordt het flowpatroon bepaald door de pompcapaciteit en pompregeling. Indien sprake is van een aan-uit regeling van de pomp zal het meetgebied van de debietmeter min of meer overeenkomen met de pompcapaciteit. Indien een frequentiegeregelde pomp wordt toegepast of een vrij verval situatie zal het meetgebied van de debietmeter behoorlijk kunnen variëren. Dan is het gemiddeld uurdebiet na te gaan door bijvoorbeeld de spreiding in het dagdebiet vast te stellen en de lozingsduur per dag.</w:t>
      </w:r>
    </w:p>
    <w:p w14:paraId="69D0960D" w14:textId="77777777" w:rsidR="00DB30CD" w:rsidRPr="00DD4703" w:rsidRDefault="00DB30CD" w:rsidP="00DB30CD">
      <w:pPr>
        <w:numPr>
          <w:ilvl w:val="0"/>
          <w:numId w:val="26"/>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In aansluiting op vraag f dient als vuistregel bepaald te worden of het geloosde debiet overwegend ligt in de range &gt; 10% van het maximale meetbereik. Is dit kritisch dan kunnen de specifieke regels zoals beschreven in de Waterregeling voor meetgoot en meetput nader getoetst worden. Het maximale meetbereik kan uit de specificaties (kalibratierapport) van het meetsysteem worden gehaald. Het meetbereik is afhankelijk van de dimensies en ontwerp van het systeem. Wanneer het te meten debiet erg laag is ten opzichte van het maximaal meetbare debiet, betekent dit dat de debietmeter aan de onderkant van de specificaties meet. In dit gebied is de meting minder betrouwbaar. Daarom is het van belang dat het gemiddelde debiet van de lozing groter is dan 10% van het maximale debiet dat de debietmeter kan meten. Ter correctie kan o.a. een ander meetschot of afvoercapaciteit in overweging worden genomen.</w:t>
      </w:r>
    </w:p>
    <w:p w14:paraId="02196670" w14:textId="77777777" w:rsidR="00DB30CD" w:rsidRPr="00DD4703" w:rsidRDefault="00DB30CD" w:rsidP="00DB30CD">
      <w:pPr>
        <w:numPr>
          <w:ilvl w:val="0"/>
          <w:numId w:val="26"/>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Bij ultrasone hoogtemeting wordt de meting beïnvloed door de omgevingstemperatuur, omdat de snelheid van ultrasone golven afhankelijk is van de luchttemperatuur. Hiervoor dient een temperatuurmeting en een correctie plaats te vinden. In de meest gangbare ultrasone hoogte meters voor afvalwaterdebietmeting is deze temperatuurmeting- en correctie in de instrumentatie geïntegreerd. Dit kan uit de specificaties van het instrument vastgesteld worden.</w:t>
      </w:r>
    </w:p>
    <w:p w14:paraId="237B97E1" w14:textId="77777777" w:rsidR="00DB30CD" w:rsidRPr="00DD4703" w:rsidRDefault="00DB30CD" w:rsidP="00DB30CD">
      <w:pPr>
        <w:numPr>
          <w:ilvl w:val="0"/>
          <w:numId w:val="26"/>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Om inspecties en kalibratie van het meetsysteem uit te kunnen voeren dient deze goed en veilig toegankelijk te zijn.</w:t>
      </w:r>
    </w:p>
    <w:p w14:paraId="577E4744" w14:textId="77777777" w:rsidR="00DB30CD" w:rsidRPr="00DD4703" w:rsidRDefault="00DB30CD" w:rsidP="00DB30CD">
      <w:pPr>
        <w:numPr>
          <w:ilvl w:val="0"/>
          <w:numId w:val="26"/>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Open meetsystemen werken middels opstuwing van de waterhoogte als gevolg van een speciaal ontworpen obstructie in de doorvoer. De waterhoogte wordt gemeten en vormt een maatstaf voor het debiet. Door verruwing van wanden of </w:t>
      </w:r>
      <w:r w:rsidR="00DE304E" w:rsidRPr="00DD4703">
        <w:rPr>
          <w:rFonts w:eastAsia="Times New Roman" w:cs="Arial"/>
          <w:color w:val="auto"/>
        </w:rPr>
        <w:t>algen aangroei</w:t>
      </w:r>
      <w:r w:rsidRPr="00DD4703">
        <w:rPr>
          <w:rFonts w:eastAsia="Times New Roman" w:cs="Arial"/>
          <w:color w:val="auto"/>
        </w:rPr>
        <w:t xml:space="preserve"> kan er extra opstuwing of weerstand van het water plaatsvinden waardoor de betrouwbaarheid van meting verstoord wordt. Het is dan ook van belang dat de meetgoot of het meetschot goed schoon wordt gehouden.</w:t>
      </w:r>
    </w:p>
    <w:p w14:paraId="2280D2D9" w14:textId="77777777" w:rsidR="00DB30CD" w:rsidRPr="00DD4703" w:rsidRDefault="00DB30CD" w:rsidP="00BE2729">
      <w:pPr>
        <w:overflowPunct w:val="0"/>
        <w:autoSpaceDE w:val="0"/>
        <w:autoSpaceDN/>
        <w:adjustRightInd w:val="0"/>
        <w:spacing w:line="240" w:lineRule="auto"/>
        <w:ind w:left="426"/>
        <w:textAlignment w:val="auto"/>
        <w:rPr>
          <w:rFonts w:eastAsia="Times New Roman" w:cs="Arial"/>
          <w:color w:val="auto"/>
        </w:rPr>
      </w:pPr>
    </w:p>
    <w:p w14:paraId="43258BD3"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p>
    <w:p w14:paraId="385BB804" w14:textId="3C83BBC9" w:rsidR="00DB30CD" w:rsidRPr="00FB1682" w:rsidRDefault="00DB30CD" w:rsidP="00FB1682">
      <w:pPr>
        <w:overflowPunct w:val="0"/>
        <w:autoSpaceDE w:val="0"/>
        <w:adjustRightInd w:val="0"/>
        <w:spacing w:line="240" w:lineRule="auto"/>
        <w:rPr>
          <w:rFonts w:eastAsia="Times New Roman" w:cs="Arial"/>
          <w:b/>
          <w:color w:val="auto"/>
        </w:rPr>
      </w:pPr>
      <w:r w:rsidRPr="00DD4703">
        <w:rPr>
          <w:rFonts w:eastAsia="Times New Roman" w:cs="Arial"/>
          <w:color w:val="auto"/>
        </w:rPr>
        <w:br w:type="page"/>
      </w:r>
      <w:r w:rsidRPr="00D82217">
        <w:rPr>
          <w:rFonts w:eastAsia="Times New Roman" w:cs="Arial"/>
          <w:b/>
          <w:color w:val="auto"/>
        </w:rPr>
        <w:lastRenderedPageBreak/>
        <w:t xml:space="preserve">TOELICHTING </w:t>
      </w:r>
      <w:r w:rsidRPr="00FB1682">
        <w:rPr>
          <w:rFonts w:eastAsia="Times New Roman" w:cs="Arial"/>
          <w:b/>
          <w:color w:val="auto"/>
        </w:rPr>
        <w:t>MONSTERNAME-APPARATUUR</w:t>
      </w:r>
    </w:p>
    <w:p w14:paraId="31AF48E5"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6AB34593" w14:textId="77777777" w:rsidTr="00DD4703">
        <w:tc>
          <w:tcPr>
            <w:tcW w:w="5000" w:type="pct"/>
            <w:shd w:val="clear" w:color="auto" w:fill="CCCCCC"/>
          </w:tcPr>
          <w:p w14:paraId="2C8C520F" w14:textId="7F6CCF5C" w:rsidR="00DB30CD" w:rsidRPr="00DD4703" w:rsidRDefault="00067A3F" w:rsidP="00DB30CD">
            <w:p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t>3.</w:t>
            </w:r>
            <w:r w:rsidR="00DB30CD" w:rsidRPr="00DD4703">
              <w:rPr>
                <w:rFonts w:eastAsia="Times New Roman" w:cs="Arial"/>
                <w:b/>
                <w:color w:val="auto"/>
              </w:rPr>
              <w:t>1 Algemene vragen</w:t>
            </w:r>
          </w:p>
          <w:p w14:paraId="1E34CD43"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7A81081E" w14:textId="77777777" w:rsidR="00DB30CD" w:rsidRPr="00DD4703" w:rsidRDefault="00DB30CD" w:rsidP="00DB30CD">
      <w:pPr>
        <w:overflowPunct w:val="0"/>
        <w:autoSpaceDE w:val="0"/>
        <w:adjustRightInd w:val="0"/>
        <w:spacing w:line="240" w:lineRule="auto"/>
        <w:rPr>
          <w:rFonts w:eastAsia="Times New Roman" w:cs="Arial"/>
          <w:color w:val="auto"/>
        </w:rPr>
      </w:pPr>
    </w:p>
    <w:p w14:paraId="4321606F" w14:textId="77777777" w:rsidR="00DB30CD" w:rsidRPr="00DD4703" w:rsidRDefault="00DB30CD" w:rsidP="00DB30CD">
      <w:pPr>
        <w:numPr>
          <w:ilvl w:val="0"/>
          <w:numId w:val="27"/>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fysische en chemische kenmerken van het geloosde afvalwater vormen een belangrijk criterium voor de wijze van monstername, toe te passen toestellen en monsternamepunt. Om deze reden is het zinvol inzicht te hebben in een aantal eigenschappen die in dit kader van belang zijn. Ter illustratie geven wij een aantal praktijkvoorbeelden:</w:t>
      </w:r>
    </w:p>
    <w:p w14:paraId="727D4DC6" w14:textId="77777777" w:rsidR="00DB30CD" w:rsidRPr="00DD4703" w:rsidRDefault="00DB30CD" w:rsidP="00DB30CD">
      <w:pPr>
        <w:numPr>
          <w:ilvl w:val="1"/>
          <w:numId w:val="27"/>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Indien sprake is van afvalwater waarbij niet of nauwelijks biologisch afbreekbare stoffen (meer) aanwezig zijn, is koeling van monster een minder strikt item. In overleg met bevoegd gezag kan zelfs eventueel ontheffing op koeling worden verkregen.</w:t>
      </w:r>
    </w:p>
    <w:p w14:paraId="4C1DA1C3" w14:textId="77777777" w:rsidR="00DB30CD" w:rsidRPr="00DD4703" w:rsidRDefault="00DB30CD" w:rsidP="00DB30CD">
      <w:pPr>
        <w:numPr>
          <w:ilvl w:val="1"/>
          <w:numId w:val="27"/>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 xml:space="preserve">Vluchtige stoffen lenen zich niet voor (vacuüm)monstername van deelmonsters in een verzamelvat. </w:t>
      </w:r>
    </w:p>
    <w:p w14:paraId="27D380FF" w14:textId="77777777" w:rsidR="00DB30CD" w:rsidRPr="00DD4703" w:rsidRDefault="00DB30CD" w:rsidP="00DB30CD">
      <w:pPr>
        <w:numPr>
          <w:ilvl w:val="1"/>
          <w:numId w:val="27"/>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 xml:space="preserve">Bij duidelijke aanwezigheid van onopgeloste bestanddelen of drijvende delen is extra aandacht nodig voor het homogeniseren van het verzamelmonster. Ook is dan naleving van de diameter van aanzuig- of toevoerleiding van monsternametoestel een strikter aandachtspunt. </w:t>
      </w:r>
    </w:p>
    <w:p w14:paraId="7808713A" w14:textId="77777777" w:rsidR="00DB30CD" w:rsidRPr="00DD4703" w:rsidRDefault="00DB30CD" w:rsidP="00DB30CD">
      <w:pPr>
        <w:numPr>
          <w:ilvl w:val="1"/>
          <w:numId w:val="27"/>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 xml:space="preserve">Bij lozing van een hoge temperatuur afvalwater dient het monsternamestation voldoende koelcapaciteit te hebben. </w:t>
      </w:r>
    </w:p>
    <w:p w14:paraId="76ECBFEB" w14:textId="77777777" w:rsidR="00DB30CD" w:rsidRPr="00DD4703" w:rsidRDefault="00DB30CD" w:rsidP="00DB30CD">
      <w:pPr>
        <w:numPr>
          <w:ilvl w:val="1"/>
          <w:numId w:val="27"/>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Bij een fluctuatie van de geloosde waterkwaliteit en/of debiet geeft een steekbemonstering of tijdsproportionele bemonstering een onvoldoende representatief beeld.</w:t>
      </w:r>
    </w:p>
    <w:p w14:paraId="738B9254" w14:textId="77777777" w:rsidR="00DB30CD" w:rsidRPr="00DD4703" w:rsidRDefault="00DB30CD" w:rsidP="00DB30CD">
      <w:pPr>
        <w:numPr>
          <w:ilvl w:val="0"/>
          <w:numId w:val="27"/>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Stel vast vanuit welke situatie er een monster wordt genomen waarbij een opdeling is te maken naar open systemen en gesloten systemen en nuanceer de omstandigheden.</w:t>
      </w:r>
    </w:p>
    <w:p w14:paraId="4C799960" w14:textId="77777777" w:rsidR="00DB30CD" w:rsidRPr="00DD4703" w:rsidRDefault="00DB30CD" w:rsidP="00DB30CD">
      <w:pPr>
        <w:numPr>
          <w:ilvl w:val="0"/>
          <w:numId w:val="27"/>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vaststelling van het type gebruikte monsternametoestel is van belang voor de te volgen route van vragen uit de vragenlijst. De NEN 6600-1 bevat een beslisdiagram voor de keuze van monsternametoestel. </w:t>
      </w:r>
      <w:r w:rsidRPr="00DD4703">
        <w:rPr>
          <w:rFonts w:eastAsia="Times New Roman" w:cs="Arial"/>
          <w:color w:val="auto"/>
        </w:rPr>
        <w:br/>
        <w:t xml:space="preserve">In de meeste gevallen worden de volgende twee typen monsternames aangetroffen: </w:t>
      </w:r>
    </w:p>
    <w:p w14:paraId="6FFDD143" w14:textId="77777777" w:rsidR="00DB30CD" w:rsidRPr="00DD4703" w:rsidRDefault="00DB30CD" w:rsidP="00DB30CD">
      <w:pPr>
        <w:numPr>
          <w:ilvl w:val="1"/>
          <w:numId w:val="27"/>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 xml:space="preserve">Vacuümmonstername waarbij deelmonsters uit de afvalwaterstroom door een aanzuigleiding aangezogen worden door een vacuüm. Aanzuiging dient in principe plaats te vinden vanuit een open systeem en vindt in de volgende volgorde plaats: 1) leegblazen slang en aanzuigopening, 2) aanzuigen en vullen monsterkolf, 3) overtollig water terugblazen, 4) aflaten monster naar verzamelvat. </w:t>
      </w:r>
      <w:r w:rsidRPr="00DD4703">
        <w:rPr>
          <w:rFonts w:eastAsia="Times New Roman" w:cs="Arial"/>
          <w:color w:val="auto"/>
        </w:rPr>
        <w:br/>
        <w:t>Indien een persleiding aanwezig is en toch voor een vacuümmonstername is gekozen (met name vóór 2005) zijn tussenoplossingen gemaakt, door een open systeem te creëren dat al of niet continu gevoed wordt door een aftakleiding van de persleiding. In dit geval is vacuümmonstername gecombineerd met een soort in-line monstername. Bij dit soort gevallen wordt zowel onderdeel 2 (vacuümtoestel) als onderdeel 3 (aftakking hoofdleiding) doorlopen.</w:t>
      </w:r>
    </w:p>
    <w:p w14:paraId="7751EBED" w14:textId="77777777" w:rsidR="00DB30CD" w:rsidRPr="00DD4703" w:rsidRDefault="00DB30CD" w:rsidP="00DB30CD">
      <w:pPr>
        <w:numPr>
          <w:ilvl w:val="1"/>
          <w:numId w:val="27"/>
        </w:numPr>
        <w:tabs>
          <w:tab w:val="num" w:pos="851"/>
        </w:tabs>
        <w:overflowPunct w:val="0"/>
        <w:autoSpaceDE w:val="0"/>
        <w:autoSpaceDN/>
        <w:adjustRightInd w:val="0"/>
        <w:spacing w:line="240" w:lineRule="auto"/>
        <w:ind w:left="851" w:hanging="425"/>
        <w:textAlignment w:val="auto"/>
        <w:rPr>
          <w:rFonts w:eastAsia="Times New Roman" w:cs="Arial"/>
          <w:color w:val="auto"/>
        </w:rPr>
      </w:pPr>
      <w:r w:rsidRPr="00DD4703">
        <w:rPr>
          <w:rFonts w:eastAsia="Times New Roman" w:cs="Arial"/>
          <w:color w:val="auto"/>
        </w:rPr>
        <w:t>In-line bemonstering waarbij de monstername rechtstreeks met een plunjer uit de gesloten lozingsleiding met overdruk plaatsvindt. De plunjer wordt bij een stuurpuls kortstondig in de leiding heen en weer bewogen. Het monstervolume ligt hierbij in principe vast. De monstername met een plunjer duurt veel korter dan bij vacuüm monstername en kan met hogere frequentie monsters ‘happen’(per 5 seconden).</w:t>
      </w:r>
      <w:r w:rsidRPr="00DD4703">
        <w:rPr>
          <w:rFonts w:eastAsia="Times New Roman" w:cs="Arial"/>
          <w:color w:val="auto"/>
        </w:rPr>
        <w:br/>
      </w:r>
    </w:p>
    <w:p w14:paraId="1CD4D537" w14:textId="77777777" w:rsidR="00DB30CD" w:rsidRPr="00DD4703" w:rsidRDefault="00DB30CD" w:rsidP="00DB30CD">
      <w:pPr>
        <w:overflowPunct w:val="0"/>
        <w:autoSpaceDE w:val="0"/>
        <w:adjustRightInd w:val="0"/>
        <w:spacing w:after="120" w:line="240" w:lineRule="auto"/>
        <w:ind w:left="283"/>
        <w:rPr>
          <w:rFonts w:eastAsia="Times New Roman" w:cs="Times New Roman"/>
          <w:color w:val="auto"/>
        </w:rPr>
      </w:pPr>
      <w:r w:rsidRPr="00DD4703">
        <w:rPr>
          <w:rFonts w:eastAsia="Times New Roman" w:cs="Times New Roman"/>
          <w:color w:val="auto"/>
        </w:rPr>
        <w:t xml:space="preserve">In beide gevallen dient de monstername aangestuurd te worden door pulsen, gekoppeld aan de hoeveelheid geloosd afvalwater, per tijdseenheid of gebeurtenis. </w:t>
      </w:r>
    </w:p>
    <w:p w14:paraId="2C046B09" w14:textId="77777777" w:rsidR="00DB30CD" w:rsidRPr="00DD4703" w:rsidRDefault="00DB30CD" w:rsidP="00DB30CD">
      <w:pPr>
        <w:tabs>
          <w:tab w:val="num" w:pos="426"/>
        </w:tabs>
        <w:overflowPunct w:val="0"/>
        <w:autoSpaceDE w:val="0"/>
        <w:adjustRightInd w:val="0"/>
        <w:spacing w:line="240" w:lineRule="auto"/>
        <w:ind w:left="426" w:hanging="426"/>
        <w:rPr>
          <w:rFonts w:eastAsia="Times New Roman" w:cs="Arial"/>
          <w:color w:val="auto"/>
        </w:rPr>
      </w:pPr>
      <w:r w:rsidRPr="00DD4703">
        <w:rPr>
          <w:rFonts w:eastAsia="Times New Roman" w:cs="Arial"/>
          <w:color w:val="auto"/>
        </w:rPr>
        <w:tab/>
        <w:t>Andere minder voorkomende systemen zijn de slangenpomp voor monstername uit open systemen en diverse typen kleppen voor monstername uit gesloten systemen. Bij deze systemen bestaat enige twijfel over de representativiteit van monstername en is maatwerk benodigd in de beoordeling hierop.</w:t>
      </w:r>
    </w:p>
    <w:p w14:paraId="408AF9C2" w14:textId="77777777" w:rsidR="00DB30CD" w:rsidRPr="00DD4703" w:rsidRDefault="00DB30CD" w:rsidP="00DB30CD">
      <w:pPr>
        <w:numPr>
          <w:ilvl w:val="0"/>
          <w:numId w:val="27"/>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Leg de gegevens van de monsternamekast vast. De informatie kan van belang zijn voor vragen elders in de lijst, bij de nazorg van de controle en voor latere controles. </w:t>
      </w:r>
    </w:p>
    <w:p w14:paraId="2E9C57E0" w14:textId="77777777" w:rsidR="00DB30CD" w:rsidRPr="00DD4703" w:rsidRDefault="00DB30CD" w:rsidP="00DB30CD">
      <w:pPr>
        <w:numPr>
          <w:ilvl w:val="0"/>
          <w:numId w:val="27"/>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Idem voor het monsterverzamelvat. Een wijde hals (&gt; 20 cm) is noodzakelijk om het monsterverzamelvat goed te kunnen mengen met een monsterlepel/roerder en dus op een representatieve wijze uit het monsternamevat te kunnen nemen. Omdat in de praktijk veel monstervaten (bij aflevering) zijn uitgerust met een smallere hals vormt </w:t>
      </w:r>
      <w:r w:rsidRPr="00DD4703">
        <w:rPr>
          <w:rFonts w:eastAsia="Times New Roman" w:cs="Arial"/>
          <w:color w:val="auto"/>
        </w:rPr>
        <w:lastRenderedPageBreak/>
        <w:t>de wijze van mengen een extra aandachtspunt. In dit geval is het toegestaan om de gehele inhoud van het vat over te brengen in een ander vat met een wijde opening of emmer</w:t>
      </w:r>
      <w:r w:rsidR="0093441D">
        <w:rPr>
          <w:rFonts w:eastAsia="Times New Roman" w:cs="Arial"/>
          <w:color w:val="auto"/>
        </w:rPr>
        <w:t xml:space="preserve"> met voldoende inhoud </w:t>
      </w:r>
      <w:r w:rsidR="0093441D">
        <w:rPr>
          <w:rFonts w:cs="Arial"/>
          <w:color w:val="auto"/>
        </w:rPr>
        <w:t xml:space="preserve">en </w:t>
      </w:r>
      <w:r w:rsidR="0093441D" w:rsidRPr="009B1F49">
        <w:rPr>
          <w:rFonts w:cs="Arial"/>
          <w:color w:val="auto"/>
        </w:rPr>
        <w:t xml:space="preserve">een wijde </w:t>
      </w:r>
      <w:r w:rsidR="0093441D">
        <w:rPr>
          <w:rFonts w:cs="Arial"/>
          <w:color w:val="auto"/>
        </w:rPr>
        <w:t>hals zodat met een monsterschep gemakkelijk geroerd en geschept kan worden</w:t>
      </w:r>
      <w:r w:rsidR="0093441D" w:rsidRPr="009B1F49">
        <w:rPr>
          <w:rFonts w:cs="Arial"/>
          <w:color w:val="auto"/>
        </w:rPr>
        <w:t>.</w:t>
      </w:r>
      <w:r w:rsidRPr="00DD4703">
        <w:rPr>
          <w:rFonts w:eastAsia="Times New Roman" w:cs="Arial"/>
          <w:color w:val="auto"/>
        </w:rPr>
        <w:t xml:space="preserve"> (zie ook vraag 4d checklijst). Het aantal aanwezige verzamelvaten speelt een rol bij de wijze waarop de monsters verzameld, bewaard en genomen worden voor monstername.</w:t>
      </w:r>
    </w:p>
    <w:p w14:paraId="3EE40265" w14:textId="77777777" w:rsidR="00DB30CD" w:rsidRPr="00DD4703" w:rsidRDefault="00DB30CD" w:rsidP="00DB30CD">
      <w:pPr>
        <w:numPr>
          <w:ilvl w:val="0"/>
          <w:numId w:val="27"/>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binnentemperatuur in de monsternamekast (dus niet de watertemperatuur van monstervat) dient conform de Waterregeling tussen 0 en 4 °C te liggen. Aan te raden is niet alleen af te gaan op de eventuele instel- of meetwaarde van de monsternamekast, maar dit met een thermometer vast te stellen door deze gedurende voldoende tijd in de kast te leggen. Met name bij ‘warme’ lozingstromen is het van extra belang dat de kast voldoende koelend vermogen bezit om te gewenste temperatuur te handhaven. </w:t>
      </w:r>
      <w:r w:rsidRPr="00DD4703">
        <w:rPr>
          <w:rFonts w:eastAsia="Times New Roman" w:cs="Arial"/>
          <w:color w:val="auto"/>
        </w:rPr>
        <w:br/>
        <w:t>In de NEN-6600-1 wordt een binnentemperatuur voorgeschreven van 1-5 ºC.</w:t>
      </w:r>
    </w:p>
    <w:p w14:paraId="4C3CA43F" w14:textId="77777777" w:rsidR="00DB30CD" w:rsidRPr="00DD4703" w:rsidRDefault="00DB30CD" w:rsidP="00D0319C">
      <w:pPr>
        <w:overflowPunct w:val="0"/>
        <w:autoSpaceDE w:val="0"/>
        <w:autoSpaceDN/>
        <w:adjustRightInd w:val="0"/>
        <w:spacing w:line="240" w:lineRule="auto"/>
        <w:ind w:left="426"/>
        <w:textAlignment w:val="auto"/>
        <w:rPr>
          <w:rFonts w:eastAsia="Times New Roman" w:cs="Arial"/>
          <w:color w:val="auto"/>
        </w:rPr>
      </w:pPr>
      <w:r w:rsidRPr="00DD4703">
        <w:rPr>
          <w:rFonts w:eastAsia="Times New Roman" w:cs="Arial"/>
          <w:color w:val="auto"/>
        </w:rPr>
        <w:t>Het behoud van een continu correcte binnentemperatuur wordt beïnvloed door onder</w:t>
      </w:r>
      <w:r w:rsidR="00B63A65">
        <w:rPr>
          <w:rFonts w:eastAsia="Times New Roman" w:cs="Arial"/>
          <w:color w:val="auto"/>
        </w:rPr>
        <w:t xml:space="preserve"> </w:t>
      </w:r>
      <w:r w:rsidRPr="00DD4703">
        <w:rPr>
          <w:rFonts w:eastAsia="Times New Roman" w:cs="Arial"/>
          <w:color w:val="auto"/>
        </w:rPr>
        <w:t>meer de buitentemperatuur, temperatuur van bemonsterde water en koelcapaciteit. Voor borging van een juiste temperatuur is periodieke zelfcontrole en registratie aan te raden.</w:t>
      </w:r>
    </w:p>
    <w:p w14:paraId="4D75F0A2" w14:textId="77777777" w:rsidR="00DB30CD" w:rsidRPr="00DD4703" w:rsidRDefault="00DB30CD" w:rsidP="00DB30CD">
      <w:pPr>
        <w:numPr>
          <w:ilvl w:val="0"/>
          <w:numId w:val="27"/>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Om de bemonsteringen, controle en het onderhoud aan de monsternamekast veilig uit te kunnen voeren, dient deze goed en veilig toegankelijk te zijn.</w:t>
      </w:r>
    </w:p>
    <w:p w14:paraId="409D5855" w14:textId="77777777" w:rsidR="00D813DD" w:rsidRDefault="00D813DD">
      <w:pPr>
        <w:spacing w:line="240" w:lineRule="auto"/>
        <w:rPr>
          <w:rFonts w:eastAsia="Times New Roman" w:cs="Arial"/>
          <w:color w:val="auto"/>
        </w:rPr>
      </w:pPr>
    </w:p>
    <w:p w14:paraId="6F529AC7"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56F315B5" w14:textId="77777777" w:rsidTr="00DD4703">
        <w:tc>
          <w:tcPr>
            <w:tcW w:w="5000" w:type="pct"/>
            <w:shd w:val="clear" w:color="auto" w:fill="CCCCCC"/>
          </w:tcPr>
          <w:p w14:paraId="4F08C5B2" w14:textId="107BDFE0" w:rsidR="00DB30CD" w:rsidRPr="00DD4703" w:rsidRDefault="00067A3F" w:rsidP="00DB30CD">
            <w:p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t>3.</w:t>
            </w:r>
            <w:r w:rsidR="00DB30CD" w:rsidRPr="00DD4703">
              <w:rPr>
                <w:rFonts w:eastAsia="Times New Roman" w:cs="Arial"/>
                <w:b/>
                <w:color w:val="auto"/>
              </w:rPr>
              <w:t>2 Installatie monsternamepunt en –leiding vacuümmonstername</w:t>
            </w:r>
          </w:p>
          <w:p w14:paraId="1E950BD1"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4694B737" w14:textId="77777777" w:rsidR="00DB30CD" w:rsidRPr="00DD4703" w:rsidRDefault="00DB30CD" w:rsidP="00DB30CD">
      <w:pPr>
        <w:tabs>
          <w:tab w:val="left" w:pos="284"/>
        </w:tabs>
        <w:overflowPunct w:val="0"/>
        <w:autoSpaceDE w:val="0"/>
        <w:adjustRightInd w:val="0"/>
        <w:spacing w:line="240" w:lineRule="auto"/>
        <w:ind w:left="705" w:hanging="705"/>
        <w:rPr>
          <w:rFonts w:eastAsia="Times New Roman" w:cs="Arial"/>
          <w:color w:val="auto"/>
        </w:rPr>
      </w:pPr>
    </w:p>
    <w:p w14:paraId="5245997D" w14:textId="77777777" w:rsidR="00DB30CD" w:rsidRPr="00DD4703" w:rsidRDefault="00DB30CD" w:rsidP="00DB30CD">
      <w:pPr>
        <w:numPr>
          <w:ilvl w:val="0"/>
          <w:numId w:val="3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Het aanzuigpunt dient datgene te bemonsteren wat wordt geloosd. Het punt dient in een goed gemengd punt van de afvalwaterstroom gelegen te zijn, zodat er een representatief deelmonster genomen wordt. Voorkomen dient te worden dat het aanzuigpunt droog komt te liggen, op de bodem, in een hoek of langs de zijwand ligt of op het oppervlak drijft en vooral drijvende deeltjes aanzuigt. Bij een open systeem ligt het aanzuigpunt bij voorkeur zo dicht mogelijk stroomafwaarts van de obstructie.</w:t>
      </w:r>
      <w:r w:rsidRPr="00DD4703">
        <w:rPr>
          <w:rFonts w:eastAsia="Times New Roman" w:cs="Arial"/>
          <w:color w:val="auto"/>
        </w:rPr>
        <w:br/>
        <w:t>Ga ook na hoe de slang onder water loopt en of het uiteinde van de slang ook nog op een representatieve plaats zit.</w:t>
      </w:r>
    </w:p>
    <w:p w14:paraId="531E2873" w14:textId="77777777" w:rsidR="00DB30CD" w:rsidRPr="00DD4703" w:rsidRDefault="00DB30CD" w:rsidP="00DB30CD">
      <w:pPr>
        <w:numPr>
          <w:ilvl w:val="0"/>
          <w:numId w:val="3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monsternamekast dient bij voorkeur zo kort mogelijk bij het aanzuigpunt te worden geplaatst zodat de monsternamecyclus in zo kort mogelijke tijd kan worden uitgevoerd. Hoe langer de aanzuigleiding en hoe groter het hoogteverschil, hoe lager de aanzuigsnelheid zal worden waardoor de risico’s op een minder representatieve monstername toenemen. Knikken en teveel bochten kunnen er eveneens voor zorgen dat het aanzuigen niet afdoende verloopt of dat er vervuiling en verstopping van de leiding optreedt.</w:t>
      </w:r>
      <w:r w:rsidRPr="00DD4703">
        <w:rPr>
          <w:rFonts w:eastAsia="Times New Roman" w:cs="Arial"/>
          <w:color w:val="auto"/>
        </w:rPr>
        <w:br/>
        <w:t>Van belang is verder dat de aanzuigslang zoveel mogelijk uit één stuk bestaat zonder overgangen, afsluiters of appendages en uit inert materiaal bestaat.</w:t>
      </w:r>
    </w:p>
    <w:p w14:paraId="4702AE07" w14:textId="77777777" w:rsidR="00DB30CD" w:rsidRPr="00DD4703" w:rsidRDefault="00DB30CD" w:rsidP="00DB30CD">
      <w:pPr>
        <w:numPr>
          <w:ilvl w:val="0"/>
          <w:numId w:val="3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aanzuigleiding dient onder afschot naar het aanzuigpunt te lopen. Zo wordt voorkomen dat er resten monster in de leiding achterblijven. Ook wordt zo gewaarborgd dat alleen de afgemeten hoeveelheid monster in het verzamelvat terechtkomt en dat teveel genomen monster makkelijk terugvloeit. Indien zich een ‘zak’ in de aanzuigleiding bevindt, is de kans groot dat bij uitblazen van de leiding, de lucht over het achterblijvende water heen stroomt.</w:t>
      </w:r>
    </w:p>
    <w:p w14:paraId="4CDB0BBF" w14:textId="77777777" w:rsidR="00DB30CD" w:rsidRPr="00DD4703" w:rsidRDefault="00DB30CD" w:rsidP="00DB30CD">
      <w:pPr>
        <w:numPr>
          <w:ilvl w:val="0"/>
          <w:numId w:val="3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inwendige leidingdiameter van alle monstervoerende leidingen (aanzuigslang, monsterafvoer naar verzamelvat) dient 13 mm of groter te zijn. Zo wordt verstopping van de leiding door grotere deeltjes voorkomen. Indien in het afvalwater geen grote onopgeloste delen voorkomen is de vereiste diameter een minder hard criterium. In de NEN 6600-1 wordt 12 mm als minimum gesteld.</w:t>
      </w:r>
      <w:r w:rsidRPr="00DD4703">
        <w:rPr>
          <w:rFonts w:eastAsia="Times New Roman" w:cs="Arial"/>
          <w:color w:val="auto"/>
        </w:rPr>
        <w:br/>
        <w:t>Een te grote diameter van de aanzuigslang verlaagt overigens de stroomsnelheid.Voor de stroomsnelheid is van belang dat deze voldoende hoog is (aanzuigsnelheid &gt; 0,3 m/s). Indien deze te laag is kunnen vaste deeltjes ‘gemist’ worden bij het aanzuigen en treedt makkelijker vervuiling op. Het is echter niet eenvoudig de aanzuigsnelheid nauwkeurig vast te stellen. De snelheid kan geschat worden door de lengte van een stukje leiding vast te stellen en vervolgens te meten in hoeveel seconden dit stukje door het water afgelegd wordt. Indien door deze schatting het beeld ontstaat dat de snelheid te laag is, kan een meer nauwkeurige meting uitgevoerd worden.</w:t>
      </w:r>
    </w:p>
    <w:p w14:paraId="0A5E89FD" w14:textId="77777777" w:rsidR="00DB30CD" w:rsidRPr="00DD4703" w:rsidRDefault="00DB30CD" w:rsidP="00DB30CD">
      <w:pPr>
        <w:numPr>
          <w:ilvl w:val="0"/>
          <w:numId w:val="35"/>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Ondanks dat een aanzuigslang normaliter wordt leeggeblazen als eindfase van een monsternamecyclus en onder afschot ligt, zal er inwendig door adsorptie altijd een filmlaag afvalwater aanwezig blijven. Directe blootstelling aan zonlicht resulteert in </w:t>
      </w:r>
      <w:r w:rsidRPr="00DD4703">
        <w:rPr>
          <w:rFonts w:eastAsia="Times New Roman" w:cs="Arial"/>
          <w:color w:val="auto"/>
        </w:rPr>
        <w:lastRenderedPageBreak/>
        <w:t>deze filmlaag in slijmvorming als gevolg van bacteriegroei en eventuele algenvorming (transparante aanzuigslang). Door bevriezing van deze filmlaag en de herhaling hiervan kan de aanzuigslang ook geleidelijk dichtvriezen. Het achterblijven van restmonster door het niet onder afschot liggen van de aanzuigslang vergroot deze risico’s in extra mate. Isolatie en/of afscherming (bijv. mantelbuis) bieden mogelijkheden om de aanzuigleiding te beschermen tegen zonlicht en bevriezing. De aanzuigleiding moet daarentegen wel inspecteerbaar, reinigbaar en/of vervangbaar blijven in verband met optredende vervuiling.</w:t>
      </w:r>
    </w:p>
    <w:p w14:paraId="67E05C17" w14:textId="77777777" w:rsidR="00DB30CD" w:rsidRPr="00DD4703" w:rsidRDefault="00DB30CD" w:rsidP="00D813DD">
      <w:pPr>
        <w:overflowPunct w:val="0"/>
        <w:autoSpaceDE w:val="0"/>
        <w:autoSpaceDN/>
        <w:adjustRightInd w:val="0"/>
        <w:spacing w:line="240" w:lineRule="auto"/>
        <w:ind w:left="426"/>
        <w:textAlignment w:val="auto"/>
        <w:rPr>
          <w:rFonts w:eastAsia="Times New Roman" w:cs="Arial"/>
          <w:color w:val="auto"/>
        </w:rPr>
      </w:pPr>
    </w:p>
    <w:p w14:paraId="2539CC81" w14:textId="77777777" w:rsidR="00DB30CD" w:rsidRPr="00DD4703" w:rsidRDefault="00DB30CD" w:rsidP="00D813DD">
      <w:pPr>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4F33CB87" w14:textId="77777777" w:rsidTr="00DD4703">
        <w:tc>
          <w:tcPr>
            <w:tcW w:w="5000" w:type="pct"/>
            <w:shd w:val="clear" w:color="auto" w:fill="CCCCCC"/>
          </w:tcPr>
          <w:p w14:paraId="356724CA" w14:textId="277C32E1" w:rsidR="00DB30CD" w:rsidRPr="00DD4703" w:rsidRDefault="00067A3F" w:rsidP="00DB30CD">
            <w:p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t>3.</w:t>
            </w:r>
            <w:r w:rsidR="00DB30CD" w:rsidRPr="00DD4703">
              <w:rPr>
                <w:rFonts w:eastAsia="Times New Roman" w:cs="Arial"/>
                <w:b/>
                <w:color w:val="auto"/>
              </w:rPr>
              <w:t xml:space="preserve">3 Monsternamepunt, aanvoerleiding (aftakking hoofdleiding) en afvoerleiding in-line systemen </w:t>
            </w:r>
          </w:p>
          <w:p w14:paraId="50FB2E80" w14:textId="77777777" w:rsidR="00DB30CD" w:rsidRPr="00DD4703" w:rsidRDefault="00DB30CD" w:rsidP="00DB30CD">
            <w:pPr>
              <w:tabs>
                <w:tab w:val="left" w:pos="284"/>
              </w:tabs>
              <w:overflowPunct w:val="0"/>
              <w:autoSpaceDE w:val="0"/>
              <w:adjustRightInd w:val="0"/>
              <w:spacing w:line="240" w:lineRule="auto"/>
              <w:rPr>
                <w:rFonts w:eastAsia="Times New Roman" w:cs="Arial"/>
                <w:b/>
                <w:color w:val="auto"/>
              </w:rPr>
            </w:pPr>
          </w:p>
        </w:tc>
      </w:tr>
    </w:tbl>
    <w:p w14:paraId="1113CA85" w14:textId="77777777" w:rsidR="00DB30CD" w:rsidRPr="00DD4703" w:rsidRDefault="00DB30CD" w:rsidP="00DB30CD">
      <w:pPr>
        <w:overflowPunct w:val="0"/>
        <w:autoSpaceDE w:val="0"/>
        <w:adjustRightInd w:val="0"/>
        <w:spacing w:line="240" w:lineRule="auto"/>
        <w:rPr>
          <w:rFonts w:eastAsia="Times New Roman" w:cs="Arial"/>
          <w:color w:val="auto"/>
        </w:rPr>
      </w:pPr>
    </w:p>
    <w:p w14:paraId="3F4D06F1" w14:textId="77777777" w:rsidR="00DB30CD" w:rsidRPr="00DD4703" w:rsidRDefault="00DB30CD" w:rsidP="00DB30CD">
      <w:pPr>
        <w:numPr>
          <w:ilvl w:val="0"/>
          <w:numId w:val="2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Met het monsternamepunt wordt het punt in de persleiding bedoeld waar de aftakking zich bevindt of de monsterhapper of plunjer is aangebracht. Dit punt behoort aan de perszijde van de afvoerpomp te liggen zodat er altijd overdruk in de leiding aanwezig is om een deelmonster te kunnen nemen. De locatie van het monsternamepunt dient zodanig gekozen te zijn dat er een representatieve bemonstering mogelijk is d.w.z. in het hart van een recht stuk leiding. Het punt dient niet in of nabij een bocht, zak of appendage te liggen (risico op ophoping of verstoring menging vaste delen). Bij voorkeur wordt een deelmonster met een plunjer genomen uit een verticale leiding. Indien een aftakking wordt gebruikt voor monsteraanvoer moet de stroomsnelheid in de aftakking groter zijn dan in de hoofdleiding. Indien deze lager is, kunnen onopgeloste bestanddelen ‘bezinken’ in de leiding, met als gevolg een niet-representatieve monstername.</w:t>
      </w:r>
    </w:p>
    <w:p w14:paraId="09100EFD" w14:textId="77777777" w:rsidR="00DB30CD" w:rsidRPr="00A47BFA" w:rsidRDefault="00DB30CD" w:rsidP="002F2878">
      <w:pPr>
        <w:numPr>
          <w:ilvl w:val="0"/>
          <w:numId w:val="28"/>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A47BFA">
        <w:rPr>
          <w:rFonts w:eastAsia="Times New Roman" w:cs="Arial"/>
          <w:color w:val="auto"/>
        </w:rPr>
        <w:t>De afvoerleiding van een monsterhapper dient bij voorkeur zo kort mogelijk bij het monsterverzamelvat te worden geplaatst zodat het monster snel en eenvoudig naar het verzamelvat wordt getransporteerd. Knikken en teveel bochten kunnen er voor zorgen dat het restmonster achterblijft of vervuiling en verstopping van de leiding optreedt. Van belang is verder dat de afvoerslang zoveel mogelijk uit een stuk bestaat zonder overgangen, afsluiters of appendages en uit inert materiaal bestaat.</w:t>
      </w:r>
      <w:r w:rsidRPr="00A47BFA">
        <w:rPr>
          <w:rFonts w:eastAsia="Times New Roman" w:cs="Arial"/>
          <w:color w:val="auto"/>
        </w:rPr>
        <w:br/>
        <w:t>Voor een aftakking van een persleiding geldt dat deze een zo representatief mogelijke afvalwaterstroom doorlevert. Bij voorkeur is deze derhalve zo kort mogelijk, bevat zo weinig mogelijk bochten, appendages en bestaat uit inert materiaal of gelijkwaardig materiaal als de hoofdleiding.</w:t>
      </w:r>
    </w:p>
    <w:p w14:paraId="481BC5AB" w14:textId="77777777" w:rsidR="00DB30CD" w:rsidRPr="00DD4703" w:rsidRDefault="00DB30CD" w:rsidP="00DB30CD">
      <w:pPr>
        <w:numPr>
          <w:ilvl w:val="0"/>
          <w:numId w:val="28"/>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De afvoerleiding van een monsterhapper dient onder afschot naar het monsterverzamelvat te lopen. Zo wordt voorkomen dat er resten in de leiding achterblijven en vervuiling optreedt. Ook wordt zo gewaarborgd dat de afgemeten hoeveelheid monster volledig in het verzamelvat terechtkomt.</w:t>
      </w:r>
    </w:p>
    <w:p w14:paraId="6C7B0F14" w14:textId="77777777" w:rsidR="00DB30CD" w:rsidRPr="00DD4703" w:rsidRDefault="00DB30CD" w:rsidP="00DB30CD">
      <w:pPr>
        <w:numPr>
          <w:ilvl w:val="0"/>
          <w:numId w:val="28"/>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Ondanks dat een afvoerleiding van een monsterhapper onder afschot ligt (of hoort te liggen), zal er inwendig door adsorptie altijd een filmlaag afvalwater aanwezig blijven. Directe blootstelling van zonlicht resulteert in deze filmlaag in slijmvorming als gevolg van bacteriegroei en eventuele algenvorming (transparante slang). Door bevriezing van deze filmlaag en de herhaling hiervan kan de slang ook geleidelijk dichtvriezen. Het achterblijven van restmonster door het niet onder afschot liggen van de aanzuigslang vergroot deze risico’s in extra mate. Isolatie en/of afscherming (bijv. mantelbuis) bieden mogelijkheden om de leiding te beschermen tegen zonlicht en bevriezing. De leiding moet daarentegen wel inspecteerbaar, reinigbaar en/of vervangbaar blijven in verband met optredende vervuiling.</w:t>
      </w:r>
      <w:r w:rsidRPr="00DD4703">
        <w:rPr>
          <w:rFonts w:eastAsia="Times New Roman" w:cs="Arial"/>
          <w:color w:val="auto"/>
        </w:rPr>
        <w:br/>
        <w:t>Voor een aftakking van een persleiding geldt dat deze een zo representatief mogelijke afvalwaterstroom doorlevert. Om deze reden dient deze niet blootgesteld te worden aan zonlicht en/of mogelijkheid van bevriezing.</w:t>
      </w:r>
    </w:p>
    <w:p w14:paraId="47FE69ED" w14:textId="77777777" w:rsidR="00DB30CD" w:rsidRPr="00A47BFA" w:rsidRDefault="00DB30CD" w:rsidP="002F2878">
      <w:pPr>
        <w:numPr>
          <w:ilvl w:val="0"/>
          <w:numId w:val="28"/>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A47BFA">
        <w:rPr>
          <w:rFonts w:eastAsia="Times New Roman" w:cs="Arial"/>
          <w:color w:val="auto"/>
        </w:rPr>
        <w:t>Een aftakking van een persleiding kan continu of discontinu worden bedreven om een monsternamesysteem te voeden. Bij discontinu bedrijf wordt bijvoorbeeld tijdgestuurd een afsluiter open gestuurd. Van belang hierbij is dat eerst ‘vers’ afvalwater wordt geleverd voordat een monster wordt genomen. Dit betekent dat de aanvoerleiding eerst tijdelijk moet worden doorgespoeld. Bij continu doorspoelde leidingen is dit geen item.</w:t>
      </w:r>
    </w:p>
    <w:p w14:paraId="06328616" w14:textId="77777777" w:rsidR="00DB30CD" w:rsidRDefault="00DB30CD" w:rsidP="00D813DD">
      <w:pPr>
        <w:numPr>
          <w:ilvl w:val="0"/>
          <w:numId w:val="28"/>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De inwendige leidingdiameter dient 13 mm of groter te zijn. Zo wordt verstopping van de leiding door grotere deeltjes voorkomen. Indien in het afvalwater geen grote onopgeloste delen voorkomen is de vereiste diameter een minder hard criterium. In de NEN 6600-1 wordt 12 mm als minimum gesteld. </w:t>
      </w:r>
    </w:p>
    <w:p w14:paraId="5B4EBD6D" w14:textId="77777777" w:rsidR="00D82217" w:rsidRPr="00D813DD" w:rsidRDefault="00D82217" w:rsidP="00A47BFA">
      <w:pPr>
        <w:overflowPunct w:val="0"/>
        <w:autoSpaceDE w:val="0"/>
        <w:autoSpaceDN/>
        <w:adjustRightInd w:val="0"/>
        <w:spacing w:line="240" w:lineRule="auto"/>
        <w:textAlignment w:val="auto"/>
        <w:rPr>
          <w:rFonts w:eastAsia="Times New Roman" w:cs="Arial"/>
          <w:color w:val="auto"/>
        </w:rPr>
      </w:pPr>
    </w:p>
    <w:p w14:paraId="76C5EAB7" w14:textId="77777777" w:rsidR="00DB30CD" w:rsidRPr="00DD4703" w:rsidRDefault="00DB30CD" w:rsidP="00DB30CD">
      <w:pPr>
        <w:tabs>
          <w:tab w:val="left" w:pos="284"/>
        </w:tabs>
        <w:overflowPunct w:val="0"/>
        <w:autoSpaceDE w:val="0"/>
        <w:adjustRightInd w:val="0"/>
        <w:spacing w:line="240" w:lineRule="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02342702" w14:textId="77777777" w:rsidTr="00DD4703">
        <w:tc>
          <w:tcPr>
            <w:tcW w:w="5000" w:type="pct"/>
            <w:shd w:val="clear" w:color="auto" w:fill="CCCCCC"/>
          </w:tcPr>
          <w:p w14:paraId="21CA72CE" w14:textId="31D6C87F" w:rsidR="00DB30CD" w:rsidRDefault="00067A3F" w:rsidP="00A47BFA">
            <w:pPr>
              <w:tabs>
                <w:tab w:val="left" w:pos="284"/>
              </w:tabs>
              <w:overflowPunct w:val="0"/>
              <w:autoSpaceDE w:val="0"/>
              <w:adjustRightInd w:val="0"/>
              <w:spacing w:line="240" w:lineRule="auto"/>
              <w:rPr>
                <w:rFonts w:eastAsia="Times New Roman" w:cs="Arial"/>
                <w:b/>
                <w:color w:val="auto"/>
              </w:rPr>
            </w:pPr>
            <w:r>
              <w:rPr>
                <w:rFonts w:eastAsia="Times New Roman" w:cs="Arial"/>
                <w:b/>
                <w:color w:val="auto"/>
              </w:rPr>
              <w:t>3.4</w:t>
            </w:r>
            <w:r w:rsidR="00DB30CD" w:rsidRPr="00DD4703">
              <w:rPr>
                <w:rFonts w:eastAsia="Times New Roman" w:cs="Arial"/>
                <w:b/>
                <w:color w:val="auto"/>
              </w:rPr>
              <w:t xml:space="preserve"> Aansturing monstername</w:t>
            </w:r>
          </w:p>
          <w:p w14:paraId="6EA31A48" w14:textId="77777777" w:rsidR="00A47BFA" w:rsidRPr="00DD4703" w:rsidRDefault="00A47BFA" w:rsidP="00A47BFA">
            <w:pPr>
              <w:tabs>
                <w:tab w:val="left" w:pos="284"/>
              </w:tabs>
              <w:overflowPunct w:val="0"/>
              <w:autoSpaceDE w:val="0"/>
              <w:adjustRightInd w:val="0"/>
              <w:spacing w:line="240" w:lineRule="auto"/>
              <w:rPr>
                <w:rFonts w:eastAsia="Times New Roman" w:cs="Arial"/>
                <w:b/>
                <w:color w:val="auto"/>
              </w:rPr>
            </w:pPr>
          </w:p>
        </w:tc>
      </w:tr>
    </w:tbl>
    <w:p w14:paraId="25C92C1A" w14:textId="77777777" w:rsidR="00DB30CD" w:rsidRPr="00DD4703" w:rsidRDefault="00DB30CD" w:rsidP="00DB30CD">
      <w:pPr>
        <w:overflowPunct w:val="0"/>
        <w:autoSpaceDE w:val="0"/>
        <w:adjustRightInd w:val="0"/>
        <w:spacing w:line="240" w:lineRule="auto"/>
        <w:rPr>
          <w:rFonts w:eastAsia="Times New Roman" w:cs="Arial"/>
          <w:color w:val="auto"/>
        </w:rPr>
      </w:pPr>
    </w:p>
    <w:p w14:paraId="31ADBA04" w14:textId="77777777" w:rsidR="00DB30CD" w:rsidRPr="00DD4703" w:rsidRDefault="00DB30CD" w:rsidP="00DB30CD">
      <w:pPr>
        <w:numPr>
          <w:ilvl w:val="0"/>
          <w:numId w:val="29"/>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Bij automatische monstername heeft een volume proportionele monstername de voorkeur boven een tijdsproportionele monstername. Bij afvalwaterstromen met een constant lozingspatroon kan tijdsproportioneel meten een optie zijn. Er dient goedkeuring hiervoor te worden aangevraagd bij het bevoegd gezag. Ga na wat de instellingen zijn voor de betreffende monstername. </w:t>
      </w:r>
      <w:r w:rsidRPr="00DD4703">
        <w:rPr>
          <w:rFonts w:eastAsia="Times New Roman" w:cs="Arial"/>
          <w:color w:val="auto"/>
        </w:rPr>
        <w:br/>
        <w:t>Bij debietproportionele monstername wordt door de debietmeter een puls afgegeven per volumehoeveelheid (instelbaar) waarop het monsternametoestel aangestuurd wordt. Het monsternametoestel kan ook nog voorzien zijn van een pulsdeler waardoor de monstername plaatsvindt per ingesteld aantal pulsen.</w:t>
      </w:r>
    </w:p>
    <w:p w14:paraId="70C5EA64" w14:textId="77777777" w:rsidR="00DB30CD" w:rsidRPr="00DD4703" w:rsidRDefault="00DB30CD" w:rsidP="00DB30CD">
      <w:pPr>
        <w:numPr>
          <w:ilvl w:val="0"/>
          <w:numId w:val="29"/>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Hoe vindt de wisseling plaats en hoe wordt gegarandeerd, met name bij handmatige wisseling, dat er daadwerkelijk gedurende 24 uur een verzamelmonster genomen wordt?. Het wisseltijdstip is verder van belang in samenhang met de verdere monstername en bewaartijd.</w:t>
      </w:r>
    </w:p>
    <w:p w14:paraId="73BDEE58" w14:textId="77777777" w:rsidR="00DB30CD" w:rsidRPr="00DD4703" w:rsidRDefault="00DB30CD" w:rsidP="00DB30CD">
      <w:pPr>
        <w:numPr>
          <w:ilvl w:val="0"/>
          <w:numId w:val="29"/>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Op welk tijdstip wordt de monstername uitgevoerd en hoe staat dat in verhouding tot het wisseltijdstip van de monstervaten (instelling carrousel). In de Waterregeling wordt een tijdspanne van maximaal één uur genoemd, tussen het wisseltijdstip en het nemen van een monster. In de praktijk staat deze tijdspanne bij gekoelde monstervaten ter discussie. Reden hiervan is dat de afvalwatersamenstelling in het gekoelde etmaalmonsterverzamelvat in deze korte tijd vrijwel niet onderhevig is aan veranderingen. Bij chemische conserve</w:t>
      </w:r>
      <w:r w:rsidR="00FC54A5">
        <w:rPr>
          <w:rFonts w:eastAsia="Times New Roman" w:cs="Arial"/>
          <w:color w:val="auto"/>
        </w:rPr>
        <w:t>ring of invriezen dient dit 12</w:t>
      </w:r>
      <w:r w:rsidRPr="00DD4703">
        <w:rPr>
          <w:rFonts w:eastAsia="Times New Roman" w:cs="Arial"/>
          <w:color w:val="auto"/>
        </w:rPr>
        <w:t xml:space="preserve"> uur na het verstrijken van het bemonsteringsetmaal te zijn uitgevoerd. De naleving van deze tijdspanne is voor de monstername het meest relevant. </w:t>
      </w:r>
      <w:r w:rsidRPr="00DD4703">
        <w:rPr>
          <w:rFonts w:eastAsia="Times New Roman" w:cs="Arial"/>
          <w:color w:val="auto"/>
        </w:rPr>
        <w:br/>
        <w:t xml:space="preserve">Een ander aandachtspunt is de vermelde monsternamedatum op monsteremballage: is dit de datum van monstername of de datum van het etmaal wat het meest ingesloten is in het 24 uur monster. </w:t>
      </w:r>
      <w:r w:rsidRPr="00DD4703">
        <w:rPr>
          <w:rFonts w:eastAsia="Times New Roman" w:cs="Arial"/>
          <w:color w:val="auto"/>
        </w:rPr>
        <w:br/>
        <w:t>De monstername uit het verzamelvat kan in eigen beheer worden uitgevoerd of uitbesteed. Ga na wie de monstername uitvoert en of dit door gekwalificeerde mensen plaatsvindt.</w:t>
      </w:r>
    </w:p>
    <w:p w14:paraId="586D9516" w14:textId="77777777" w:rsidR="00DB30CD" w:rsidRPr="00DD4703" w:rsidRDefault="00DB30CD" w:rsidP="00DB30CD">
      <w:pPr>
        <w:numPr>
          <w:ilvl w:val="0"/>
          <w:numId w:val="29"/>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In de Waterregeling wordt een minimaal monstervolume voorgeschreven: 50 ml voor vacuüm en 20 ml voor in-line bemonstering. Controle kan plaatsvinden door een monsterpuls af te wachten of een handmatige monstername te starten en met een maatcilinder de hoeveelheid deelmonster te controleren. </w:t>
      </w:r>
      <w:r w:rsidRPr="00DD4703">
        <w:rPr>
          <w:rFonts w:eastAsia="Times New Roman" w:cs="Arial"/>
          <w:color w:val="auto"/>
        </w:rPr>
        <w:br/>
        <w:t xml:space="preserve">De NEN 6600-1 maakt geen onderscheid in monsternametoestel en kent slechts één minimum monstervolume van 25 ml. </w:t>
      </w:r>
      <w:r w:rsidRPr="00DD4703">
        <w:rPr>
          <w:rFonts w:eastAsia="Times New Roman" w:cs="Arial"/>
          <w:color w:val="auto"/>
        </w:rPr>
        <w:br/>
        <w:t xml:space="preserve">De herhaalbaarheid van deelmonstervolume moet zodanig zijn dat deze maximaal 5% bedraagt van het ingestelde deelvolume. </w:t>
      </w:r>
    </w:p>
    <w:p w14:paraId="7EFD5537" w14:textId="77777777" w:rsidR="00DB30CD" w:rsidRPr="00DD4703" w:rsidRDefault="00DB30CD" w:rsidP="00DB30CD">
      <w:pPr>
        <w:numPr>
          <w:ilvl w:val="0"/>
          <w:numId w:val="29"/>
        </w:numPr>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Om de bandbreedte van het aantal monsters per etmaal te kunnen vaststellen is het benodigd om inzicht te hebben in het minimale, reguliere en maximale geloosde debiet. Deze gegevens zijn te herleiden uit de registratiegegevens van het geloosde debiet. Op basis van deze informatie kan vraag f en g beantwoord worden.</w:t>
      </w:r>
    </w:p>
    <w:p w14:paraId="3EB6D645" w14:textId="2E6CFABE" w:rsidR="00DB30CD" w:rsidRPr="00D0319C" w:rsidRDefault="00DB30CD" w:rsidP="00D0319C">
      <w:pPr>
        <w:numPr>
          <w:ilvl w:val="0"/>
          <w:numId w:val="29"/>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Het minimum aantal deelmonsters kan worden berekend door op basis van de pulsinstelling het aantal pulsen te berekenen wat overeenkomt bij het minimum lozingsdebiet. Er dienen tenminste 100 deelmonsters te worden genomen bij (vacuümmonstername) of 250 bij in-line monstername. </w:t>
      </w:r>
      <w:r w:rsidRPr="00DD4703">
        <w:rPr>
          <w:rFonts w:eastAsia="Times New Roman" w:cs="Arial"/>
          <w:color w:val="auto"/>
        </w:rPr>
        <w:br/>
        <w:t>Daarnaast dient minimaal 5 liter monster verzameld te worden in 24 uur. Dit kan berekend worden op basis van het gemeten monstervolume en het aantal deelmonsters behorend bij het minimum lozingsdebiet.</w:t>
      </w:r>
      <w:r w:rsidRPr="00DD4703">
        <w:rPr>
          <w:rFonts w:eastAsia="Times New Roman" w:cs="Arial"/>
          <w:color w:val="auto"/>
        </w:rPr>
        <w:br/>
        <w:t>Aangezien het minimale monstervolume in de NEN 6600-1 25 ml bedraagt, is het minimale volume bij 100 deelmonsters 2,5 liter. Dit kan voor het benodigde monstervolume voor analysering te weinig zijn, zodat het bevoegd gezag dan een groter deelmonstervolume kan voorschrijven.</w:t>
      </w:r>
    </w:p>
    <w:p w14:paraId="0746EC70" w14:textId="77777777" w:rsidR="00DB30CD" w:rsidRPr="00DD4703" w:rsidRDefault="00DB30CD" w:rsidP="00DB30CD">
      <w:pPr>
        <w:numPr>
          <w:ilvl w:val="0"/>
          <w:numId w:val="29"/>
        </w:numPr>
        <w:tabs>
          <w:tab w:val="left"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Bij sterk wisselende afvoer kan het voorkomen dat er erg veel (bijvoorbeeld indien er hemelwater wordt afgevoerd via het lozingspunt) of juist erg weinig deelmonsters genomen worden. Hierdoor kan er teveel verzamelmonster zijn (het vat loopt eventueel over; tenzij overvulbeveiliging) of te weinig (er is niet voldoende monster aanwezig voor monstername). Door het aantal pulsen per geloosde hoeveelheid water en het monstervolume juist te kiezen, kan hier rekening mee gehouden worden.</w:t>
      </w:r>
    </w:p>
    <w:p w14:paraId="46E93039" w14:textId="77777777" w:rsidR="00B63A65" w:rsidRPr="00B63A65" w:rsidRDefault="00DB30CD" w:rsidP="00214653">
      <w:pPr>
        <w:numPr>
          <w:ilvl w:val="0"/>
          <w:numId w:val="29"/>
        </w:numPr>
        <w:tabs>
          <w:tab w:val="clear" w:pos="1353"/>
          <w:tab w:val="num" w:pos="426"/>
        </w:tabs>
        <w:overflowPunct w:val="0"/>
        <w:autoSpaceDE w:val="0"/>
        <w:autoSpaceDN/>
        <w:adjustRightInd w:val="0"/>
        <w:spacing w:line="240" w:lineRule="auto"/>
        <w:ind w:left="426" w:hanging="426"/>
        <w:textAlignment w:val="auto"/>
        <w:rPr>
          <w:rFonts w:cs="Arial"/>
          <w:color w:val="auto"/>
        </w:rPr>
      </w:pPr>
      <w:r w:rsidRPr="00B63A65">
        <w:rPr>
          <w:rFonts w:eastAsia="Times New Roman" w:cs="Arial"/>
          <w:color w:val="auto"/>
        </w:rPr>
        <w:t>Ga na op welke wijze het verzamelmonster wordt bewaard voor het bevoegd gezag. Blijft er steeds voldoende monster over na eigen monstername? Zijn er afspraken hierover met bevoegd gezag gemaakt?</w:t>
      </w:r>
    </w:p>
    <w:p w14:paraId="7AEBC2A3" w14:textId="77777777" w:rsidR="00B63A65" w:rsidRPr="00B63A65" w:rsidRDefault="00B63A65" w:rsidP="00214653">
      <w:pPr>
        <w:tabs>
          <w:tab w:val="left" w:pos="426"/>
        </w:tabs>
        <w:overflowPunct w:val="0"/>
        <w:autoSpaceDE w:val="0"/>
        <w:autoSpaceDN/>
        <w:adjustRightInd w:val="0"/>
        <w:spacing w:line="240" w:lineRule="auto"/>
        <w:ind w:left="426"/>
        <w:textAlignment w:val="auto"/>
        <w:rPr>
          <w:rFonts w:cs="Arial"/>
          <w:color w:val="auto"/>
        </w:rPr>
      </w:pPr>
      <w:r>
        <w:lastRenderedPageBreak/>
        <w:t xml:space="preserve">Het verkregen monster moet representatief zijn voor de totale hoeveelheid afvalstoffen die gedurende de bemonsteringsperiode in oppervlaktewaterlichamen wordt geloosd. (Waterregeling) </w:t>
      </w:r>
      <w:r w:rsidRPr="00B63A65">
        <w:rPr>
          <w:color w:val="auto"/>
        </w:rPr>
        <w:t>Zie ook toelichting bij checklist punt 4g.</w:t>
      </w:r>
    </w:p>
    <w:p w14:paraId="4196CF71" w14:textId="77777777" w:rsidR="00D82217" w:rsidRPr="00DD4703" w:rsidRDefault="00D82217" w:rsidP="00D82217">
      <w:pPr>
        <w:tabs>
          <w:tab w:val="left" w:pos="426"/>
        </w:tabs>
        <w:overflowPunct w:val="0"/>
        <w:autoSpaceDE w:val="0"/>
        <w:autoSpaceDN/>
        <w:adjustRightInd w:val="0"/>
        <w:spacing w:line="240" w:lineRule="auto"/>
        <w:ind w:left="426"/>
        <w:textAlignment w:val="auto"/>
        <w:rPr>
          <w:rFonts w:eastAsia="Times New Roman" w:cs="Arial"/>
          <w:color w:val="auto"/>
        </w:rPr>
      </w:pPr>
    </w:p>
    <w:p w14:paraId="51A0EF00" w14:textId="77777777" w:rsidR="00DB30CD" w:rsidRPr="00DD4703" w:rsidRDefault="00DB30CD" w:rsidP="00D813DD">
      <w:pPr>
        <w:tabs>
          <w:tab w:val="left" w:pos="426"/>
        </w:tabs>
        <w:overflowPunct w:val="0"/>
        <w:autoSpaceDE w:val="0"/>
        <w:autoSpaceDN/>
        <w:adjustRightInd w:val="0"/>
        <w:spacing w:line="240" w:lineRule="auto"/>
        <w:ind w:left="426"/>
        <w:textAlignment w:val="auto"/>
        <w:rPr>
          <w:rFonts w:eastAsia="Times New Roman" w:cs="Arial"/>
          <w:color w:val="auto"/>
        </w:rPr>
      </w:pPr>
    </w:p>
    <w:tbl>
      <w:tblP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DB30CD" w:rsidRPr="00DD4703" w14:paraId="12FE81B3" w14:textId="77777777" w:rsidTr="00DD4703">
        <w:tc>
          <w:tcPr>
            <w:tcW w:w="5000" w:type="pct"/>
            <w:shd w:val="clear" w:color="auto" w:fill="CCCCCC"/>
          </w:tcPr>
          <w:p w14:paraId="25FDC1BF" w14:textId="00E0F34F" w:rsidR="00DB30CD" w:rsidRPr="00DD4703" w:rsidRDefault="007765CF" w:rsidP="00067A3F">
            <w:pPr>
              <w:tabs>
                <w:tab w:val="left" w:pos="284"/>
              </w:tabs>
              <w:overflowPunct w:val="0"/>
              <w:autoSpaceDE w:val="0"/>
              <w:adjustRightInd w:val="0"/>
              <w:spacing w:line="240" w:lineRule="auto"/>
              <w:rPr>
                <w:rFonts w:eastAsia="Times New Roman" w:cs="Arial"/>
                <w:b/>
                <w:color w:val="auto"/>
              </w:rPr>
            </w:pPr>
            <w:r>
              <w:rPr>
                <w:rFonts w:eastAsia="Times New Roman" w:cs="Arial"/>
                <w:color w:val="auto"/>
              </w:rPr>
              <w:br w:type="page"/>
            </w:r>
            <w:r w:rsidR="00067A3F">
              <w:rPr>
                <w:rFonts w:eastAsia="Times New Roman" w:cs="Arial"/>
                <w:color w:val="auto"/>
              </w:rPr>
              <w:t>3.</w:t>
            </w:r>
            <w:r w:rsidR="00DB30CD" w:rsidRPr="00DD4703">
              <w:rPr>
                <w:rFonts w:eastAsia="Times New Roman" w:cs="Arial"/>
                <w:b/>
                <w:color w:val="auto"/>
              </w:rPr>
              <w:t>5 Onderhoud</w:t>
            </w:r>
            <w:r w:rsidR="00A47BFA">
              <w:rPr>
                <w:rFonts w:eastAsia="Times New Roman" w:cs="Arial"/>
                <w:b/>
                <w:color w:val="auto"/>
              </w:rPr>
              <w:br/>
            </w:r>
          </w:p>
        </w:tc>
      </w:tr>
    </w:tbl>
    <w:p w14:paraId="48C2642D" w14:textId="77777777" w:rsidR="00DB30CD" w:rsidRPr="00DD4703" w:rsidRDefault="00DB30CD" w:rsidP="00DB30CD">
      <w:pPr>
        <w:overflowPunct w:val="0"/>
        <w:autoSpaceDE w:val="0"/>
        <w:adjustRightInd w:val="0"/>
        <w:spacing w:line="240" w:lineRule="auto"/>
        <w:rPr>
          <w:rFonts w:eastAsia="Times New Roman" w:cs="Arial"/>
          <w:color w:val="auto"/>
        </w:rPr>
      </w:pPr>
    </w:p>
    <w:p w14:paraId="6489FC5F" w14:textId="77777777" w:rsidR="00DB30CD" w:rsidRPr="00DD4703" w:rsidRDefault="00DB30CD" w:rsidP="00DB30CD">
      <w:pPr>
        <w:numPr>
          <w:ilvl w:val="0"/>
          <w:numId w:val="3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Monsternamevoorzieningen dienen conform de Watervergunning en Waterregeling representatief en doelmatig te werken en in goede staat van onderhoud te verkeren. Hiertoe dient de apparatuur periodiek te worden geïnspecteerd, gereinigd en onderhouden te worden. Ga na hoe dit bij het bedrijf georganiseerd is en of dit is vastgelegd in een procedure of bijvoorbeeld via een aftekenlijst. Een visuele inspectie van de apparatuur geeft een indruk over de staat van onderhoud/schoonmaak.</w:t>
      </w:r>
      <w:r w:rsidRPr="00DD4703">
        <w:rPr>
          <w:rFonts w:eastAsia="Times New Roman" w:cs="Arial"/>
          <w:color w:val="auto"/>
        </w:rPr>
        <w:br/>
        <w:t>De frequentie van onderhoud kan blijken door een onderhoudscontract of een taakopdracht in een geautomatiseerd onderhoudssysteem.</w:t>
      </w:r>
    </w:p>
    <w:p w14:paraId="1CA3A32D" w14:textId="77777777" w:rsidR="00DB30CD" w:rsidRPr="00DD4703" w:rsidRDefault="00DB30CD" w:rsidP="00DB30CD">
      <w:pPr>
        <w:numPr>
          <w:ilvl w:val="0"/>
          <w:numId w:val="30"/>
        </w:numPr>
        <w:tabs>
          <w:tab w:val="num" w:pos="426"/>
        </w:tabs>
        <w:overflowPunct w:val="0"/>
        <w:autoSpaceDE w:val="0"/>
        <w:autoSpaceDN/>
        <w:adjustRightInd w:val="0"/>
        <w:spacing w:line="240" w:lineRule="auto"/>
        <w:ind w:left="426" w:hanging="426"/>
        <w:textAlignment w:val="auto"/>
        <w:rPr>
          <w:rFonts w:eastAsia="Times New Roman" w:cs="Arial"/>
          <w:color w:val="auto"/>
        </w:rPr>
      </w:pPr>
      <w:r w:rsidRPr="00DD4703">
        <w:rPr>
          <w:rFonts w:eastAsia="Times New Roman" w:cs="Arial"/>
          <w:color w:val="auto"/>
        </w:rPr>
        <w:t xml:space="preserve">Het monsternamevat dient na het legen weer schoon te worden teruggezet. Ga na hoe de reiniging is geregeld en of dit is vastgelegd in een procedure of bijvoorbeeld via een aftekenlijst. Op basis van visuele inspectie van de vaten kan de staat van reiniging worden vastgesteld. </w:t>
      </w:r>
      <w:r w:rsidRPr="00DD4703">
        <w:rPr>
          <w:rFonts w:eastAsia="Times New Roman" w:cs="Arial"/>
          <w:color w:val="auto"/>
        </w:rPr>
        <w:br/>
        <w:t xml:space="preserve">Idem voor de aanzuigslang, afvoerslang ed. Bij transparante slangen kan de staat van vervuiling van buitenaf beoordeeld worden. Bij niet-transparante slangen kan, indien mogelijk, het aanzuigpunt of afvoerpunt inwendig bekeken worden. Indien inspectie niet mogelijk is, zal uit het schoonmaakregiem de reinheid moet blijken. ‘Verouderde’ slangen komen in aanmerking voor vervanging. </w:t>
      </w:r>
      <w:r w:rsidRPr="00DD4703">
        <w:rPr>
          <w:rFonts w:eastAsia="Times New Roman" w:cs="Arial"/>
          <w:color w:val="auto"/>
        </w:rPr>
        <w:br/>
        <w:t>De monstervaten en slangen dienen van inert materiaal gemaakt te zijn dat makkelijk te reinigen is.</w:t>
      </w:r>
    </w:p>
    <w:p w14:paraId="4CB7C6F2" w14:textId="77777777" w:rsidR="00DB30CD" w:rsidRPr="00DD4703" w:rsidRDefault="00DB30CD" w:rsidP="00D813DD">
      <w:pPr>
        <w:overflowPunct w:val="0"/>
        <w:autoSpaceDE w:val="0"/>
        <w:autoSpaceDN/>
        <w:adjustRightInd w:val="0"/>
        <w:spacing w:line="240" w:lineRule="auto"/>
        <w:ind w:left="426"/>
        <w:textAlignment w:val="auto"/>
        <w:rPr>
          <w:rFonts w:eastAsia="Times New Roman" w:cs="Arial"/>
          <w:color w:val="auto"/>
        </w:rPr>
      </w:pPr>
    </w:p>
    <w:p w14:paraId="41580456" w14:textId="77777777" w:rsidR="00DB30CD" w:rsidRPr="00DD4703" w:rsidRDefault="00DB30CD" w:rsidP="00DB30CD">
      <w:pPr>
        <w:tabs>
          <w:tab w:val="num" w:pos="426"/>
        </w:tabs>
        <w:overflowPunct w:val="0"/>
        <w:autoSpaceDE w:val="0"/>
        <w:adjustRightInd w:val="0"/>
        <w:spacing w:line="240" w:lineRule="auto"/>
        <w:ind w:left="426" w:hanging="426"/>
        <w:rPr>
          <w:rFonts w:eastAsia="Times New Roman" w:cs="Times New Roman"/>
          <w:color w:val="auto"/>
        </w:rPr>
      </w:pPr>
    </w:p>
    <w:p w14:paraId="68AB2996" w14:textId="77777777" w:rsidR="00275D27" w:rsidRPr="00DD4703" w:rsidRDefault="00275D27">
      <w:pPr>
        <w:spacing w:line="240" w:lineRule="auto"/>
      </w:pPr>
      <w:r w:rsidRPr="00DD4703">
        <w:br w:type="page"/>
      </w:r>
    </w:p>
    <w:p w14:paraId="49949DCB" w14:textId="77777777" w:rsidR="00BD1B0C" w:rsidRPr="00DD4703" w:rsidRDefault="00BD1B0C" w:rsidP="00A47BFA">
      <w:pPr>
        <w:pStyle w:val="Bijschrift"/>
        <w:spacing w:line="276" w:lineRule="auto"/>
        <w:rPr>
          <w:b/>
          <w:color w:val="auto"/>
          <w:sz w:val="18"/>
          <w:szCs w:val="18"/>
        </w:rPr>
      </w:pPr>
      <w:r w:rsidRPr="00DD4703">
        <w:rPr>
          <w:b/>
          <w:bCs/>
          <w:color w:val="auto"/>
          <w:sz w:val="18"/>
          <w:szCs w:val="18"/>
        </w:rPr>
        <w:lastRenderedPageBreak/>
        <w:t>Verklarende woordenlijst</w:t>
      </w:r>
    </w:p>
    <w:p w14:paraId="657648E3" w14:textId="77777777" w:rsidR="00BD1B0C" w:rsidRPr="00DD4703" w:rsidRDefault="00BD1B0C" w:rsidP="00BD1B0C">
      <w:pPr>
        <w:tabs>
          <w:tab w:val="left" w:pos="284"/>
        </w:tabs>
        <w:rPr>
          <w:rFonts w:cs="Arial"/>
        </w:rPr>
      </w:pPr>
    </w:p>
    <w:p w14:paraId="05D72BFF" w14:textId="77777777" w:rsidR="00BD1B0C" w:rsidRPr="00DD4703" w:rsidRDefault="00BD1B0C" w:rsidP="00BD1B0C">
      <w:pPr>
        <w:tabs>
          <w:tab w:val="left" w:pos="284"/>
        </w:tabs>
        <w:rPr>
          <w:rFonts w:cs="Arial"/>
        </w:rPr>
      </w:pPr>
      <w:r w:rsidRPr="00DD4703">
        <w:rPr>
          <w:rFonts w:cs="Arial"/>
        </w:rPr>
        <w:t>AWZI</w:t>
      </w:r>
      <w:r w:rsidRPr="00DD4703">
        <w:rPr>
          <w:rFonts w:cs="Arial"/>
        </w:rPr>
        <w:tab/>
        <w:t>Afvalwaterzuiveringinstallatie</w:t>
      </w:r>
    </w:p>
    <w:p w14:paraId="2ABF8EF5" w14:textId="77777777" w:rsidR="00BD1B0C" w:rsidRPr="00DD4703" w:rsidRDefault="00BD1B0C" w:rsidP="00BD1B0C">
      <w:pPr>
        <w:tabs>
          <w:tab w:val="left" w:pos="284"/>
        </w:tabs>
        <w:rPr>
          <w:rFonts w:cs="Arial"/>
        </w:rPr>
      </w:pPr>
      <w:r w:rsidRPr="00DD4703">
        <w:rPr>
          <w:rFonts w:cs="Arial"/>
        </w:rPr>
        <w:t>BVR</w:t>
      </w:r>
      <w:r w:rsidRPr="00DD4703">
        <w:rPr>
          <w:rFonts w:cs="Arial"/>
        </w:rPr>
        <w:tab/>
        <w:t>Bureau Verontreinigingsheffing Rijkswateren</w:t>
      </w:r>
    </w:p>
    <w:p w14:paraId="11DC251F" w14:textId="77777777" w:rsidR="00BD1B0C" w:rsidRPr="00DD4703" w:rsidRDefault="00BD1B0C" w:rsidP="00BD1B0C">
      <w:pPr>
        <w:pStyle w:val="Plattetekstinspringen"/>
        <w:ind w:left="0"/>
        <w:rPr>
          <w:rFonts w:cs="Arial"/>
        </w:rPr>
      </w:pPr>
      <w:r w:rsidRPr="00DD4703">
        <w:rPr>
          <w:rFonts w:cs="Arial"/>
        </w:rPr>
        <w:t>CIW</w:t>
      </w:r>
      <w:r w:rsidRPr="00DD4703">
        <w:rPr>
          <w:rFonts w:cs="Arial"/>
        </w:rPr>
        <w:tab/>
        <w:t xml:space="preserve">Commissie Integraal Waterbeheer </w:t>
      </w:r>
    </w:p>
    <w:p w14:paraId="4588E11D" w14:textId="77777777" w:rsidR="00BD1B0C" w:rsidRPr="00DD4703" w:rsidRDefault="00BD1B0C" w:rsidP="00BD1B0C">
      <w:pPr>
        <w:pStyle w:val="Voetnoottekst"/>
        <w:rPr>
          <w:rFonts w:ascii="Verdana" w:hAnsi="Verdana" w:cs="Arial"/>
          <w:sz w:val="18"/>
          <w:szCs w:val="18"/>
        </w:rPr>
      </w:pPr>
      <w:r w:rsidRPr="00DD4703">
        <w:rPr>
          <w:rFonts w:ascii="Verdana" w:hAnsi="Verdana" w:cs="Arial"/>
          <w:sz w:val="18"/>
          <w:szCs w:val="18"/>
        </w:rPr>
        <w:t>EMAS</w:t>
      </w:r>
      <w:r w:rsidRPr="00DD4703">
        <w:rPr>
          <w:rFonts w:ascii="Verdana" w:hAnsi="Verdana" w:cs="Arial"/>
          <w:sz w:val="18"/>
          <w:szCs w:val="18"/>
        </w:rPr>
        <w:tab/>
        <w:t>ECO-Management and Audit Scheme</w:t>
      </w:r>
    </w:p>
    <w:p w14:paraId="2F3100FC" w14:textId="77777777" w:rsidR="00BD1B0C" w:rsidRPr="00DD4703" w:rsidRDefault="00BD1B0C" w:rsidP="00BD1B0C">
      <w:pPr>
        <w:pStyle w:val="Voetnoottekst"/>
        <w:rPr>
          <w:rFonts w:ascii="Verdana" w:hAnsi="Verdana" w:cs="Arial"/>
          <w:sz w:val="18"/>
          <w:szCs w:val="18"/>
        </w:rPr>
      </w:pPr>
      <w:r w:rsidRPr="00DD4703">
        <w:rPr>
          <w:rFonts w:ascii="Verdana" w:hAnsi="Verdana" w:cs="Arial"/>
          <w:sz w:val="18"/>
          <w:szCs w:val="18"/>
        </w:rPr>
        <w:t>EMF</w:t>
      </w:r>
      <w:r w:rsidRPr="00DD4703">
        <w:rPr>
          <w:rFonts w:ascii="Verdana" w:hAnsi="Verdana" w:cs="Arial"/>
          <w:sz w:val="18"/>
          <w:szCs w:val="18"/>
        </w:rPr>
        <w:tab/>
        <w:t>Elektromagnetische flowmeter</w:t>
      </w:r>
    </w:p>
    <w:p w14:paraId="05FF8929" w14:textId="77777777" w:rsidR="00BD1B0C" w:rsidRPr="00DD4703" w:rsidRDefault="00BD1B0C" w:rsidP="00BD1B0C">
      <w:pPr>
        <w:rPr>
          <w:rFonts w:cs="Arial"/>
        </w:rPr>
      </w:pPr>
      <w:r w:rsidRPr="00DD4703">
        <w:rPr>
          <w:rFonts w:cs="Arial"/>
        </w:rPr>
        <w:t>EN</w:t>
      </w:r>
      <w:r w:rsidRPr="00DD4703">
        <w:rPr>
          <w:rFonts w:cs="Arial"/>
        </w:rPr>
        <w:tab/>
        <w:t>Europese norm (zoals in NEN-EN-ISO)</w:t>
      </w:r>
    </w:p>
    <w:p w14:paraId="373D938E" w14:textId="77777777" w:rsidR="00BD1B0C" w:rsidRPr="00DD4703" w:rsidRDefault="00BD1B0C" w:rsidP="00BD1B0C">
      <w:pPr>
        <w:ind w:left="705" w:hanging="705"/>
        <w:rPr>
          <w:rFonts w:cs="Arial"/>
          <w:lang w:val="en-US"/>
        </w:rPr>
      </w:pPr>
      <w:r w:rsidRPr="00DD4703">
        <w:rPr>
          <w:rFonts w:cs="Arial"/>
          <w:lang w:val="en-US"/>
        </w:rPr>
        <w:t>E-PRTR</w:t>
      </w:r>
      <w:r w:rsidRPr="00DD4703">
        <w:rPr>
          <w:rFonts w:cs="Arial"/>
          <w:lang w:val="en-US"/>
        </w:rPr>
        <w:tab/>
        <w:t>European Pollutant Release and Transfer Registers</w:t>
      </w:r>
    </w:p>
    <w:p w14:paraId="50528820" w14:textId="77777777" w:rsidR="00BD1B0C" w:rsidRPr="00DD4703" w:rsidRDefault="00BD1B0C" w:rsidP="00BD1B0C">
      <w:pPr>
        <w:tabs>
          <w:tab w:val="left" w:pos="284"/>
        </w:tabs>
        <w:rPr>
          <w:rFonts w:cs="Arial"/>
        </w:rPr>
      </w:pPr>
      <w:r w:rsidRPr="00DD4703">
        <w:rPr>
          <w:rFonts w:cs="Arial"/>
        </w:rPr>
        <w:t>ISO</w:t>
      </w:r>
      <w:r w:rsidRPr="00DD4703">
        <w:rPr>
          <w:rFonts w:cs="Arial"/>
        </w:rPr>
        <w:tab/>
        <w:t>Norm uitgegeven door de internationale organisatie voor standaardisatie</w:t>
      </w:r>
    </w:p>
    <w:p w14:paraId="093D0FCA" w14:textId="77777777" w:rsidR="00BD1B0C" w:rsidRPr="00DD4703" w:rsidRDefault="00BD1B0C" w:rsidP="00BD1B0C">
      <w:pPr>
        <w:tabs>
          <w:tab w:val="left" w:pos="284"/>
        </w:tabs>
        <w:rPr>
          <w:rFonts w:cs="Arial"/>
        </w:rPr>
      </w:pPr>
      <w:r w:rsidRPr="00DD4703">
        <w:rPr>
          <w:rFonts w:cs="Arial"/>
        </w:rPr>
        <w:t>LBOW</w:t>
      </w:r>
      <w:r w:rsidRPr="00DD4703">
        <w:rPr>
          <w:rFonts w:cs="Arial"/>
        </w:rPr>
        <w:tab/>
        <w:t>Landelijk Bestuurlijk Overleg Water (nu NOW)</w:t>
      </w:r>
    </w:p>
    <w:p w14:paraId="06937BE6" w14:textId="77777777" w:rsidR="00BD1B0C" w:rsidRPr="00DD4703" w:rsidRDefault="00BD1B0C" w:rsidP="00BD1B0C">
      <w:pPr>
        <w:tabs>
          <w:tab w:val="left" w:pos="284"/>
        </w:tabs>
        <w:rPr>
          <w:rFonts w:cs="Arial"/>
        </w:rPr>
      </w:pPr>
      <w:r w:rsidRPr="00DD4703">
        <w:rPr>
          <w:rFonts w:cs="Arial"/>
        </w:rPr>
        <w:t>MJV</w:t>
      </w:r>
      <w:r w:rsidRPr="00DD4703">
        <w:rPr>
          <w:rFonts w:cs="Arial"/>
        </w:rPr>
        <w:tab/>
        <w:t>Milieujaarverslag</w:t>
      </w:r>
    </w:p>
    <w:p w14:paraId="6304CCEB" w14:textId="77777777" w:rsidR="00BD1B0C" w:rsidRPr="00DD4703" w:rsidRDefault="00D84033" w:rsidP="00BD1B0C">
      <w:pPr>
        <w:tabs>
          <w:tab w:val="left" w:pos="284"/>
        </w:tabs>
        <w:rPr>
          <w:rFonts w:cs="Arial"/>
        </w:rPr>
      </w:pPr>
      <w:r w:rsidRPr="00DD4703">
        <w:rPr>
          <w:rFonts w:cs="Arial"/>
        </w:rPr>
        <w:t>M&amp;R</w:t>
      </w:r>
      <w:r w:rsidR="00BD1B0C" w:rsidRPr="00DD4703">
        <w:rPr>
          <w:rFonts w:cs="Arial"/>
        </w:rPr>
        <w:tab/>
        <w:t>Meet en Registratie</w:t>
      </w:r>
    </w:p>
    <w:p w14:paraId="4A362D36" w14:textId="77777777" w:rsidR="00BD1B0C" w:rsidRPr="00DD4703" w:rsidRDefault="00BD1B0C" w:rsidP="00BD1B0C">
      <w:pPr>
        <w:tabs>
          <w:tab w:val="left" w:pos="284"/>
        </w:tabs>
        <w:rPr>
          <w:rFonts w:cs="Arial"/>
        </w:rPr>
      </w:pPr>
      <w:r w:rsidRPr="00DD4703">
        <w:rPr>
          <w:rFonts w:cs="Arial"/>
        </w:rPr>
        <w:t>MZS</w:t>
      </w:r>
      <w:r w:rsidRPr="00DD4703">
        <w:rPr>
          <w:rFonts w:cs="Arial"/>
        </w:rPr>
        <w:tab/>
        <w:t>Milieuzorgsysteem</w:t>
      </w:r>
    </w:p>
    <w:p w14:paraId="1B71424B" w14:textId="77777777" w:rsidR="00BD1B0C" w:rsidRPr="00DD4703" w:rsidRDefault="00BD1B0C" w:rsidP="00BD1B0C">
      <w:pPr>
        <w:tabs>
          <w:tab w:val="left" w:pos="284"/>
        </w:tabs>
        <w:rPr>
          <w:rFonts w:cs="Arial"/>
        </w:rPr>
      </w:pPr>
      <w:r w:rsidRPr="00DD4703">
        <w:rPr>
          <w:rFonts w:cs="Arial"/>
        </w:rPr>
        <w:t>NEN</w:t>
      </w:r>
      <w:r w:rsidRPr="00DD4703">
        <w:rPr>
          <w:rFonts w:cs="Arial"/>
        </w:rPr>
        <w:tab/>
        <w:t>Nederlands genormaliseerd voorschrift, uitgegeven door het NNI</w:t>
      </w:r>
    </w:p>
    <w:p w14:paraId="6308EA45" w14:textId="77777777" w:rsidR="00BD1B0C" w:rsidRPr="00DD4703" w:rsidRDefault="00BD1B0C" w:rsidP="00BD1B0C">
      <w:pPr>
        <w:tabs>
          <w:tab w:val="left" w:pos="284"/>
        </w:tabs>
        <w:rPr>
          <w:rFonts w:cs="Arial"/>
        </w:rPr>
      </w:pPr>
      <w:r w:rsidRPr="00DD4703">
        <w:rPr>
          <w:rFonts w:cs="Arial"/>
        </w:rPr>
        <w:t>NNI</w:t>
      </w:r>
      <w:r w:rsidRPr="00DD4703">
        <w:rPr>
          <w:rFonts w:cs="Arial"/>
        </w:rPr>
        <w:tab/>
        <w:t>Nederlands Normalisatie Instituut</w:t>
      </w:r>
    </w:p>
    <w:p w14:paraId="68104DA7" w14:textId="77777777" w:rsidR="00BD1B0C" w:rsidRPr="00DD4703" w:rsidRDefault="00BD1B0C" w:rsidP="00BD1B0C">
      <w:pPr>
        <w:tabs>
          <w:tab w:val="left" w:pos="284"/>
        </w:tabs>
        <w:rPr>
          <w:rFonts w:cs="Arial"/>
        </w:rPr>
      </w:pPr>
      <w:r w:rsidRPr="00DD4703">
        <w:rPr>
          <w:rFonts w:cs="Arial"/>
        </w:rPr>
        <w:t>RWZI</w:t>
      </w:r>
      <w:r w:rsidRPr="00DD4703">
        <w:rPr>
          <w:rFonts w:cs="Arial"/>
        </w:rPr>
        <w:tab/>
        <w:t>Rioolwaterzuiveringsinstallatie</w:t>
      </w:r>
    </w:p>
    <w:p w14:paraId="547FF1C8" w14:textId="77777777" w:rsidR="00BD1B0C" w:rsidRPr="00DD4703" w:rsidRDefault="00BD1B0C" w:rsidP="00BD1B0C">
      <w:pPr>
        <w:tabs>
          <w:tab w:val="left" w:pos="284"/>
        </w:tabs>
        <w:rPr>
          <w:rFonts w:cs="Arial"/>
        </w:rPr>
      </w:pPr>
      <w:r w:rsidRPr="00DD4703">
        <w:rPr>
          <w:rFonts w:cs="Arial"/>
        </w:rPr>
        <w:t>STOWA</w:t>
      </w:r>
      <w:r w:rsidRPr="00DD4703">
        <w:rPr>
          <w:rFonts w:cs="Arial"/>
        </w:rPr>
        <w:tab/>
        <w:t>Stichting toegepast onderzoek waterbeheer</w:t>
      </w:r>
    </w:p>
    <w:p w14:paraId="4B6B77FF" w14:textId="77777777" w:rsidR="00BD1B0C" w:rsidRPr="00DD4703" w:rsidRDefault="00BD1B0C" w:rsidP="00BD1B0C">
      <w:pPr>
        <w:tabs>
          <w:tab w:val="left" w:pos="284"/>
        </w:tabs>
        <w:rPr>
          <w:rFonts w:cs="Arial"/>
        </w:rPr>
      </w:pPr>
      <w:r w:rsidRPr="00DD4703">
        <w:rPr>
          <w:rFonts w:cs="Arial"/>
        </w:rPr>
        <w:t>UVR</w:t>
      </w:r>
      <w:r w:rsidRPr="00DD4703">
        <w:rPr>
          <w:rFonts w:cs="Arial"/>
        </w:rPr>
        <w:tab/>
        <w:t>Uitvoeringsbesluit Verontreiniging Rijkswateren</w:t>
      </w:r>
    </w:p>
    <w:p w14:paraId="74E75284" w14:textId="77777777" w:rsidR="00BD1B0C" w:rsidRPr="00DD4703" w:rsidRDefault="00BD1B0C" w:rsidP="00BD1B0C">
      <w:pPr>
        <w:ind w:left="705" w:hanging="705"/>
        <w:rPr>
          <w:rFonts w:cs="Arial"/>
        </w:rPr>
      </w:pPr>
      <w:r w:rsidRPr="00DD4703">
        <w:rPr>
          <w:rFonts w:cs="Arial"/>
        </w:rPr>
        <w:t>Wm</w:t>
      </w:r>
      <w:r w:rsidRPr="00DD4703">
        <w:rPr>
          <w:rFonts w:cs="Arial"/>
        </w:rPr>
        <w:tab/>
      </w:r>
      <w:r w:rsidRPr="00DD4703">
        <w:rPr>
          <w:rFonts w:cs="Arial"/>
        </w:rPr>
        <w:tab/>
        <w:t>Wet milieubeheer</w:t>
      </w:r>
    </w:p>
    <w:p w14:paraId="69558CD5" w14:textId="77777777" w:rsidR="00BD1B0C" w:rsidRPr="00DD4703" w:rsidRDefault="00BD1B0C" w:rsidP="00BD1B0C">
      <w:pPr>
        <w:ind w:left="705" w:hanging="705"/>
        <w:rPr>
          <w:rFonts w:cs="Arial"/>
        </w:rPr>
      </w:pPr>
      <w:r w:rsidRPr="00DD4703">
        <w:rPr>
          <w:rFonts w:cs="Arial"/>
        </w:rPr>
        <w:t>Wtw</w:t>
      </w:r>
      <w:r w:rsidRPr="00DD4703">
        <w:rPr>
          <w:rFonts w:cs="Arial"/>
        </w:rPr>
        <w:tab/>
      </w:r>
      <w:r w:rsidRPr="00DD4703">
        <w:rPr>
          <w:rFonts w:cs="Arial"/>
        </w:rPr>
        <w:tab/>
        <w:t>Waterwet</w:t>
      </w:r>
    </w:p>
    <w:p w14:paraId="1208C363" w14:textId="77777777" w:rsidR="00BD1B0C" w:rsidRPr="00DD4703" w:rsidRDefault="00BD1B0C" w:rsidP="00BD1B0C">
      <w:pPr>
        <w:ind w:left="705" w:hanging="705"/>
        <w:rPr>
          <w:rFonts w:cs="Arial"/>
        </w:rPr>
      </w:pPr>
    </w:p>
    <w:p w14:paraId="753C780A" w14:textId="77777777" w:rsidR="00BD1B0C" w:rsidRPr="00DD4703" w:rsidRDefault="00BD1B0C" w:rsidP="00BD1B0C">
      <w:pPr>
        <w:pStyle w:val="Kop1"/>
        <w:rPr>
          <w:rFonts w:ascii="Verdana" w:hAnsi="Verdana"/>
          <w:bCs w:val="0"/>
          <w:sz w:val="18"/>
          <w:szCs w:val="18"/>
        </w:rPr>
      </w:pPr>
      <w:r w:rsidRPr="00A47BFA">
        <w:rPr>
          <w:rFonts w:ascii="Verdana" w:eastAsia="DejaVu Sans" w:hAnsi="Verdana" w:cs="Lohit Hindi"/>
          <w:i/>
          <w:color w:val="auto"/>
          <w:sz w:val="18"/>
          <w:szCs w:val="18"/>
        </w:rPr>
        <w:t>Nuttige informatiebronnen</w:t>
      </w:r>
    </w:p>
    <w:p w14:paraId="2BD617FD" w14:textId="77777777" w:rsidR="00BD1B0C" w:rsidRPr="00DD4703" w:rsidRDefault="00BD1B0C" w:rsidP="00BD1B0C">
      <w:pPr>
        <w:ind w:left="705" w:hanging="705"/>
        <w:rPr>
          <w:rFonts w:cs="Arial"/>
          <w:i/>
          <w:iCs/>
        </w:rPr>
      </w:pPr>
    </w:p>
    <w:p w14:paraId="4F62FE3B" w14:textId="77777777" w:rsidR="00BD1B0C" w:rsidRPr="00DD4703" w:rsidRDefault="00BD1B0C" w:rsidP="00BD1B0C">
      <w:pPr>
        <w:ind w:left="705" w:hanging="705"/>
        <w:rPr>
          <w:rFonts w:cs="Arial"/>
          <w:i/>
          <w:iCs/>
        </w:rPr>
      </w:pPr>
      <w:r w:rsidRPr="00DD4703">
        <w:rPr>
          <w:rFonts w:cs="Arial"/>
          <w:i/>
          <w:iCs/>
        </w:rPr>
        <w:t>www.helpdeskwater.nl</w:t>
      </w:r>
    </w:p>
    <w:p w14:paraId="23BFF58D" w14:textId="77777777" w:rsidR="00BD1B0C" w:rsidRPr="00DD4703" w:rsidRDefault="00BD1B0C" w:rsidP="00BD1B0C">
      <w:pPr>
        <w:rPr>
          <w:rFonts w:cs="Arial"/>
          <w:iCs/>
        </w:rPr>
      </w:pPr>
      <w:r w:rsidRPr="00DD4703">
        <w:rPr>
          <w:rFonts w:cs="Arial"/>
          <w:iCs/>
        </w:rPr>
        <w:t>De contactsite van de Helpdesk Water. Op de site zijn onder andere veel</w:t>
      </w:r>
      <w:r w:rsidR="009E4411">
        <w:rPr>
          <w:rFonts w:cs="Arial"/>
          <w:iCs/>
        </w:rPr>
        <w:t xml:space="preserve"> </w:t>
      </w:r>
      <w:r w:rsidRPr="00DD4703">
        <w:rPr>
          <w:rFonts w:cs="Arial"/>
          <w:iCs/>
        </w:rPr>
        <w:t>gestelde vragen terug te vinden, een bibliotheek en een kennisboom.</w:t>
      </w:r>
    </w:p>
    <w:p w14:paraId="163BED14" w14:textId="77777777" w:rsidR="00BD1B0C" w:rsidRPr="00DD4703" w:rsidRDefault="00BD1B0C" w:rsidP="00BD1B0C">
      <w:pPr>
        <w:ind w:left="705" w:hanging="705"/>
        <w:rPr>
          <w:rFonts w:cs="Arial"/>
          <w:iCs/>
        </w:rPr>
      </w:pPr>
    </w:p>
    <w:p w14:paraId="1402DD5A" w14:textId="77777777" w:rsidR="00BD1B0C" w:rsidRPr="00DD4703" w:rsidRDefault="00BD1B0C" w:rsidP="00BD1B0C">
      <w:pPr>
        <w:ind w:left="705" w:hanging="705"/>
        <w:rPr>
          <w:rFonts w:cs="Arial"/>
          <w:i/>
          <w:iCs/>
        </w:rPr>
      </w:pPr>
      <w:r w:rsidRPr="00DD4703">
        <w:rPr>
          <w:rFonts w:cs="Arial"/>
          <w:i/>
          <w:iCs/>
        </w:rPr>
        <w:t>www.infomil.nl</w:t>
      </w:r>
    </w:p>
    <w:p w14:paraId="4CF28B4E" w14:textId="77777777" w:rsidR="00BD1B0C" w:rsidRPr="00DD4703" w:rsidRDefault="00BD1B0C" w:rsidP="00BD1B0C">
      <w:pPr>
        <w:rPr>
          <w:rFonts w:cs="Arial"/>
          <w:iCs/>
        </w:rPr>
      </w:pPr>
      <w:r w:rsidRPr="00DD4703">
        <w:rPr>
          <w:rFonts w:cs="Arial"/>
          <w:iCs/>
        </w:rPr>
        <w:t>Een site voor verschillende overheden met veel informatie over de verschillende milieucompartimenten (lucht, bodem, water).</w:t>
      </w:r>
    </w:p>
    <w:p w14:paraId="0FD6FF5D" w14:textId="77777777" w:rsidR="00BD1B0C" w:rsidRPr="00DD4703" w:rsidRDefault="00BD1B0C" w:rsidP="00BD1B0C">
      <w:pPr>
        <w:rPr>
          <w:rFonts w:cs="Arial"/>
          <w:i/>
          <w:iCs/>
        </w:rPr>
      </w:pPr>
    </w:p>
    <w:p w14:paraId="460F45F6" w14:textId="77777777" w:rsidR="00FA6D37" w:rsidRDefault="00BD1B0C" w:rsidP="00DE304E">
      <w:pPr>
        <w:ind w:left="705" w:hanging="705"/>
        <w:rPr>
          <w:rFonts w:cs="Arial"/>
          <w:i/>
          <w:iCs/>
        </w:rPr>
      </w:pPr>
      <w:r w:rsidRPr="00DD4703">
        <w:rPr>
          <w:rFonts w:cs="Arial"/>
          <w:i/>
          <w:iCs/>
        </w:rPr>
        <w:t>www.helpdeskwater.nl/onderwerpen/wetgeving-beleid/handboek-water/Handboek</w:t>
      </w:r>
    </w:p>
    <w:p w14:paraId="52FBCA87" w14:textId="77777777" w:rsidR="00FA6D37" w:rsidRDefault="00BD1B0C" w:rsidP="00EF65BE">
      <w:pPr>
        <w:rPr>
          <w:rFonts w:cs="Arial"/>
          <w:i/>
          <w:iCs/>
        </w:rPr>
      </w:pPr>
      <w:r w:rsidRPr="00DD4703">
        <w:rPr>
          <w:rFonts w:cs="Arial"/>
          <w:i/>
          <w:iCs/>
        </w:rPr>
        <w:t xml:space="preserve"> Water.</w:t>
      </w:r>
    </w:p>
    <w:p w14:paraId="209586EB" w14:textId="77777777" w:rsidR="00EF65BE" w:rsidRPr="00EF65BE" w:rsidRDefault="00EF65BE" w:rsidP="00EF65BE">
      <w:pPr>
        <w:rPr>
          <w:rFonts w:cs="Arial"/>
          <w:iCs/>
        </w:rPr>
      </w:pPr>
    </w:p>
    <w:p w14:paraId="2365B21A" w14:textId="77777777" w:rsidR="00E82B53" w:rsidRDefault="00BD1B0C" w:rsidP="00DE304E">
      <w:pPr>
        <w:ind w:left="705" w:hanging="705"/>
        <w:rPr>
          <w:rFonts w:cs="Arial"/>
        </w:rPr>
      </w:pPr>
      <w:r w:rsidRPr="00DD4703">
        <w:rPr>
          <w:rFonts w:cs="Arial"/>
        </w:rPr>
        <w:t xml:space="preserve">Het voor de praktijk van het waterbeheer inzichtelijk maken van de van </w:t>
      </w:r>
      <w:r w:rsidR="00DE304E">
        <w:rPr>
          <w:rFonts w:cs="Arial"/>
        </w:rPr>
        <w:t>toepassing</w:t>
      </w:r>
    </w:p>
    <w:p w14:paraId="0F6E42ED" w14:textId="77777777" w:rsidR="00E82B53" w:rsidRDefault="00BD1B0C" w:rsidP="00FA6D37">
      <w:pPr>
        <w:rPr>
          <w:rFonts w:cs="Arial"/>
        </w:rPr>
      </w:pPr>
      <w:r w:rsidRPr="00DD4703">
        <w:rPr>
          <w:rFonts w:cs="Arial"/>
        </w:rPr>
        <w:t>zijnde wet- en</w:t>
      </w:r>
      <w:r w:rsidR="00DE304E">
        <w:rPr>
          <w:rFonts w:cs="Arial"/>
        </w:rPr>
        <w:t xml:space="preserve"> </w:t>
      </w:r>
      <w:r w:rsidRPr="00DD4703">
        <w:rPr>
          <w:rFonts w:cs="Arial"/>
        </w:rPr>
        <w:t>regelgeving, op een dusdanige wijze dat altijd gesproken kan worden</w:t>
      </w:r>
    </w:p>
    <w:p w14:paraId="140A2969" w14:textId="77777777" w:rsidR="00E82B53" w:rsidRDefault="00BD1B0C" w:rsidP="00DE304E">
      <w:pPr>
        <w:ind w:left="705" w:hanging="705"/>
        <w:rPr>
          <w:rFonts w:cs="Arial"/>
        </w:rPr>
      </w:pPr>
      <w:r w:rsidRPr="00DD4703">
        <w:rPr>
          <w:rFonts w:cs="Arial"/>
        </w:rPr>
        <w:t>van een betrouwbare en</w:t>
      </w:r>
      <w:r w:rsidR="00DE304E">
        <w:rPr>
          <w:rFonts w:cs="Arial"/>
        </w:rPr>
        <w:t xml:space="preserve"> </w:t>
      </w:r>
      <w:r w:rsidRPr="00DD4703">
        <w:rPr>
          <w:rFonts w:cs="Arial"/>
        </w:rPr>
        <w:t>geactualiseerde informatiebron voor overheden en andere</w:t>
      </w:r>
    </w:p>
    <w:p w14:paraId="64E3542B" w14:textId="77777777" w:rsidR="00BD1B0C" w:rsidRPr="00DD4703" w:rsidRDefault="00BD1B0C" w:rsidP="00DE304E">
      <w:pPr>
        <w:ind w:left="705" w:hanging="705"/>
        <w:rPr>
          <w:rFonts w:cs="Arial"/>
        </w:rPr>
      </w:pPr>
      <w:r w:rsidRPr="00DD4703">
        <w:rPr>
          <w:rFonts w:cs="Arial"/>
        </w:rPr>
        <w:t>gebruikers.</w:t>
      </w:r>
    </w:p>
    <w:p w14:paraId="0020EA37" w14:textId="77777777" w:rsidR="00BD1B0C" w:rsidRPr="00DD4703" w:rsidRDefault="00BD1B0C" w:rsidP="00BD1B0C">
      <w:pPr>
        <w:ind w:left="705" w:hanging="705"/>
        <w:rPr>
          <w:rFonts w:cs="Arial"/>
          <w:i/>
          <w:iCs/>
        </w:rPr>
      </w:pPr>
    </w:p>
    <w:p w14:paraId="09C5E560" w14:textId="77777777" w:rsidR="00BD1B0C" w:rsidRPr="00DD4703" w:rsidRDefault="00BD1B0C" w:rsidP="00BD1B0C">
      <w:pPr>
        <w:ind w:left="705" w:hanging="705"/>
        <w:rPr>
          <w:rFonts w:cs="Arial"/>
          <w:i/>
          <w:iCs/>
        </w:rPr>
      </w:pPr>
      <w:r w:rsidRPr="00DD4703">
        <w:rPr>
          <w:rFonts w:cs="Arial"/>
          <w:i/>
          <w:iCs/>
        </w:rPr>
        <w:t>www.nen.nl</w:t>
      </w:r>
    </w:p>
    <w:p w14:paraId="07FD397F" w14:textId="77777777" w:rsidR="00BD1B0C" w:rsidRPr="00DD4703" w:rsidRDefault="00BD1B0C" w:rsidP="00BD1B0C">
      <w:pPr>
        <w:ind w:left="705" w:hanging="705"/>
        <w:rPr>
          <w:rFonts w:cs="Arial"/>
        </w:rPr>
      </w:pPr>
      <w:r w:rsidRPr="00DD4703">
        <w:rPr>
          <w:rFonts w:cs="Arial"/>
        </w:rPr>
        <w:t>De website van het NNI met actuele normen.</w:t>
      </w:r>
    </w:p>
    <w:p w14:paraId="18935FAC" w14:textId="77777777" w:rsidR="00BD1B0C" w:rsidRPr="00DD4703" w:rsidRDefault="00BD1B0C" w:rsidP="00BD1B0C">
      <w:pPr>
        <w:ind w:left="705" w:hanging="705"/>
        <w:rPr>
          <w:rFonts w:cs="Arial"/>
        </w:rPr>
      </w:pPr>
    </w:p>
    <w:p w14:paraId="68CA09F3" w14:textId="77777777" w:rsidR="00BD1B0C" w:rsidRPr="00DD4703" w:rsidRDefault="00BD1B0C" w:rsidP="00BD1B0C">
      <w:pPr>
        <w:ind w:left="705" w:hanging="705"/>
        <w:rPr>
          <w:rFonts w:cs="Arial"/>
        </w:rPr>
      </w:pPr>
      <w:r w:rsidRPr="00DD4703">
        <w:rPr>
          <w:rFonts w:cs="Arial"/>
          <w:i/>
        </w:rPr>
        <w:t>www.wetten.nl</w:t>
      </w:r>
    </w:p>
    <w:p w14:paraId="29EC98A1" w14:textId="4D025C16" w:rsidR="00BD1B0C" w:rsidRPr="00DD4703" w:rsidRDefault="00DE304E" w:rsidP="00BD1B0C">
      <w:pPr>
        <w:rPr>
          <w:rFonts w:cs="Arial"/>
        </w:rPr>
      </w:pPr>
      <w:r>
        <w:rPr>
          <w:rFonts w:cs="Arial"/>
        </w:rPr>
        <w:t>W</w:t>
      </w:r>
      <w:r w:rsidR="00BD1B0C" w:rsidRPr="00DD4703">
        <w:rPr>
          <w:rFonts w:cs="Arial"/>
        </w:rPr>
        <w:t>ebsite met de integrale teksten van wetten en besluiten, voorzien van een handige zoekfunctie.</w:t>
      </w:r>
    </w:p>
    <w:sectPr w:rsidR="00BD1B0C" w:rsidRPr="00DD4703" w:rsidSect="00DA76DD">
      <w:headerReference w:type="default" r:id="rId10"/>
      <w:type w:val="continuous"/>
      <w:pgSz w:w="11905" w:h="16837"/>
      <w:pgMar w:top="1440" w:right="1800" w:bottom="1276" w:left="1800" w:header="708" w:footer="708" w:gutter="0"/>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9FC4B" w14:textId="77777777" w:rsidR="002F2878" w:rsidRDefault="002F2878">
      <w:pPr>
        <w:spacing w:line="240" w:lineRule="auto"/>
      </w:pPr>
      <w:r>
        <w:separator/>
      </w:r>
    </w:p>
  </w:endnote>
  <w:endnote w:type="continuationSeparator" w:id="0">
    <w:p w14:paraId="168074DA" w14:textId="77777777" w:rsidR="002F2878" w:rsidRDefault="002F28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jaVu Sans">
    <w:altName w:val="Arial"/>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RO VenW">
    <w:panose1 w:val="050B0102000000000000"/>
    <w:charset w:val="00"/>
    <w:family w:val="swiss"/>
    <w:pitch w:val="variable"/>
    <w:sig w:usb0="80000003" w:usb1="1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F635C" w14:textId="77777777" w:rsidR="002F2878" w:rsidRDefault="002F2878">
    <w:pPr>
      <w:pStyle w:val="Voettekst"/>
    </w:pPr>
  </w:p>
  <w:p w14:paraId="54037B64" w14:textId="77777777" w:rsidR="002F2878" w:rsidRDefault="002F287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59CF1" w14:textId="77777777" w:rsidR="002F2878" w:rsidRDefault="002F2878">
      <w:pPr>
        <w:spacing w:line="240" w:lineRule="auto"/>
      </w:pPr>
      <w:r>
        <w:separator/>
      </w:r>
    </w:p>
  </w:footnote>
  <w:footnote w:type="continuationSeparator" w:id="0">
    <w:p w14:paraId="2866E3C8" w14:textId="77777777" w:rsidR="002F2878" w:rsidRDefault="002F287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0ACE9" w14:textId="77777777" w:rsidR="002F2878" w:rsidRDefault="002F2878">
    <w:r>
      <w:rPr>
        <w:noProof/>
      </w:rPr>
      <mc:AlternateContent>
        <mc:Choice Requires="wps">
          <w:drawing>
            <wp:anchor distT="0" distB="0" distL="0" distR="0" simplePos="0" relativeHeight="251651072" behindDoc="0" locked="1" layoutInCell="1" allowOverlap="1" wp14:anchorId="6A1C3595" wp14:editId="57407BDB">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7A567015" w14:textId="77777777" w:rsidR="002F2878" w:rsidRDefault="002F2878">
                          <w:pPr>
                            <w:spacing w:line="240" w:lineRule="auto"/>
                          </w:pPr>
                          <w:r>
                            <w:rPr>
                              <w:noProof/>
                            </w:rPr>
                            <w:drawing>
                              <wp:inline distT="0" distB="0" distL="0" distR="0" wp14:anchorId="415D6F9E" wp14:editId="388FE374">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6A1C3595" id="_x0000_t202" coordsize="21600,21600" o:spt="202" path="m,l,21600r21600,l21600,xe">
              <v:stroke joinstyle="miter"/>
              <v:path gradientshapeok="t" o:connecttype="rect"/>
            </v:shapetype>
            <v:shape id="Lint_RWS" o:spid="_x0000_s1026" type="#_x0000_t202" style="position:absolute;margin-left:279.2pt;margin-top:0;width:36.85pt;height:105.25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14:paraId="7A567015" w14:textId="77777777" w:rsidR="002F2878" w:rsidRDefault="002F2878">
                    <w:pPr>
                      <w:spacing w:line="240" w:lineRule="auto"/>
                    </w:pPr>
                    <w:r>
                      <w:rPr>
                        <w:noProof/>
                      </w:rPr>
                      <w:drawing>
                        <wp:inline distT="0" distB="0" distL="0" distR="0" wp14:anchorId="415D6F9E" wp14:editId="388FE374">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120" behindDoc="0" locked="1" layoutInCell="1" allowOverlap="1" wp14:anchorId="5FDC5B85" wp14:editId="23AFEACA">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407B67B7" w14:textId="77777777" w:rsidR="002F2878" w:rsidRDefault="002F2878">
                          <w:pPr>
                            <w:spacing w:line="240" w:lineRule="auto"/>
                          </w:pPr>
                          <w:r>
                            <w:rPr>
                              <w:noProof/>
                            </w:rPr>
                            <w:drawing>
                              <wp:inline distT="0" distB="0" distL="0" distR="0" wp14:anchorId="0315B7EE" wp14:editId="733DD0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5FDC5B85" id="Woordmerk_RWS" o:spid="_x0000_s1027" type="#_x0000_t202" style="position:absolute;margin-left:316.05pt;margin-top:0;width:184.25pt;height:105.2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14:paraId="407B67B7" w14:textId="77777777" w:rsidR="002F2878" w:rsidRDefault="002F2878">
                    <w:pPr>
                      <w:spacing w:line="240" w:lineRule="auto"/>
                    </w:pPr>
                    <w:r>
                      <w:rPr>
                        <w:noProof/>
                      </w:rPr>
                      <w:drawing>
                        <wp:inline distT="0" distB="0" distL="0" distR="0" wp14:anchorId="0315B7EE" wp14:editId="733DD051">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5168" behindDoc="0" locked="1" layoutInCell="1" allowOverlap="1" wp14:anchorId="2ECF0952" wp14:editId="57A562A2">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14:paraId="07191375" w14:textId="77777777" w:rsidR="002F2878" w:rsidRDefault="00BE60C9">
                          <w:pPr>
                            <w:pStyle w:val="Vertrouwelijkheidsniveau"/>
                          </w:pPr>
                          <w:r>
                            <w:fldChar w:fldCharType="begin"/>
                          </w:r>
                          <w:r>
                            <w:instrText xml:space="preserve"> DOCPROPERTY  "Rubricering"  \* MERGEFORMAT </w:instrText>
                          </w:r>
                          <w:r>
                            <w:fldChar w:fldCharType="separate"/>
                          </w:r>
                          <w:r w:rsidR="002F2878">
                            <w:t>RWS Informatie</w:t>
                          </w:r>
                          <w:r>
                            <w:fldChar w:fldCharType="end"/>
                          </w:r>
                        </w:p>
                      </w:txbxContent>
                    </wps:txbx>
                    <wps:bodyPr vert="horz" wrap="square" lIns="0" tIns="0" rIns="0" bIns="0" anchor="t" anchorCtr="0"/>
                  </wps:wsp>
                </a:graphicData>
              </a:graphic>
            </wp:anchor>
          </w:drawing>
        </mc:Choice>
        <mc:Fallback>
          <w:pict>
            <v:shape w14:anchorId="2ECF0952" id="Retouradres" o:spid="_x0000_s1028" type="#_x0000_t202" style="position:absolute;margin-left:161.55pt;margin-top:182.8pt;width:385.5pt;height:1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14:paraId="07191375" w14:textId="77777777" w:rsidR="002F2878" w:rsidRDefault="00303688">
                    <w:pPr>
                      <w:pStyle w:val="Vertrouwelijkheidsniveau"/>
                    </w:pPr>
                    <w:r>
                      <w:fldChar w:fldCharType="begin"/>
                    </w:r>
                    <w:r>
                      <w:instrText xml:space="preserve"> DOCPROPERTY  "Rubricering"  \* MERGEFORMAT </w:instrText>
                    </w:r>
                    <w:r>
                      <w:fldChar w:fldCharType="separate"/>
                    </w:r>
                    <w:r w:rsidR="002F2878">
                      <w:t>RWS Informatie</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7216" behindDoc="0" locked="1" layoutInCell="1" allowOverlap="1" wp14:anchorId="7EC5C481" wp14:editId="04107909">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355620F8" w14:textId="77777777" w:rsidR="002F2878" w:rsidRDefault="002F2878"/>
                      </w:txbxContent>
                    </wps:txbx>
                    <wps:bodyPr vert="horz" wrap="square" lIns="0" tIns="0" rIns="0" bIns="0" anchor="t" anchorCtr="0"/>
                  </wps:wsp>
                </a:graphicData>
              </a:graphic>
            </wp:anchor>
          </w:drawing>
        </mc:Choice>
        <mc:Fallback>
          <w:pict>
            <v:shape w14:anchorId="7EC5C481" id="Vertrouwelijkheidsniveau" o:spid="_x0000_s1029" type="#_x0000_t202" style="position:absolute;margin-left:79.35pt;margin-top:805pt;width:356.25pt;height:17.2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14:paraId="355620F8" w14:textId="77777777" w:rsidR="002F2878" w:rsidRDefault="002F2878"/>
                </w:txbxContent>
              </v:textbox>
              <w10:wrap anchorx="page" anchory="page"/>
              <w10:anchorlock/>
            </v:shape>
          </w:pict>
        </mc:Fallback>
      </mc:AlternateContent>
    </w:r>
    <w:r>
      <w:rPr>
        <w:noProof/>
      </w:rPr>
      <mc:AlternateContent>
        <mc:Choice Requires="wps">
          <w:drawing>
            <wp:anchor distT="0" distB="0" distL="0" distR="0" simplePos="0" relativeHeight="251659264" behindDoc="0" locked="1" layoutInCell="1" allowOverlap="1" wp14:anchorId="06FFFE9A" wp14:editId="25D7137E">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3BCE1EDF" w14:textId="77777777" w:rsidR="002F2878" w:rsidRDefault="002F2878"/>
                      </w:txbxContent>
                    </wps:txbx>
                    <wps:bodyPr vert="horz" wrap="square" lIns="0" tIns="0" rIns="0" bIns="0" anchor="t" anchorCtr="0"/>
                  </wps:wsp>
                </a:graphicData>
              </a:graphic>
            </wp:anchor>
          </w:drawing>
        </mc:Choice>
        <mc:Fallback>
          <w:pict>
            <v:shape w14:anchorId="06FFFE9A" id="Paginanummer" o:spid="_x0000_s1030" type="#_x0000_t202" style="position:absolute;margin-left:466.25pt;margin-top:805pt;width:99.2pt;height:14.1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14:paraId="3BCE1EDF" w14:textId="77777777" w:rsidR="002F2878" w:rsidRDefault="002F2878"/>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6B786" w14:textId="77777777" w:rsidR="002F2878" w:rsidRDefault="002F2878">
    <w:r>
      <w:rPr>
        <w:noProof/>
      </w:rPr>
      <mc:AlternateContent>
        <mc:Choice Requires="wps">
          <w:drawing>
            <wp:anchor distT="0" distB="0" distL="0" distR="0" simplePos="0" relativeHeight="251661312" behindDoc="0" locked="1" layoutInCell="1" allowOverlap="1" wp14:anchorId="47138F6E" wp14:editId="547253D0">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5C409CAB" w14:textId="77777777" w:rsidR="002F2878" w:rsidRDefault="002F2878"/>
                      </w:txbxContent>
                    </wps:txbx>
                    <wps:bodyPr vert="horz" wrap="square" lIns="0" tIns="0" rIns="0" bIns="0" anchor="t" anchorCtr="0"/>
                  </wps:wsp>
                </a:graphicData>
              </a:graphic>
            </wp:anchor>
          </w:drawing>
        </mc:Choice>
        <mc:Fallback>
          <w:pict>
            <v:shapetype w14:anchorId="47138F6E" id="_x0000_t202" coordsize="21600,21600" o:spt="202" path="m,l,21600r21600,l21600,xe">
              <v:stroke joinstyle="miter"/>
              <v:path gradientshapeok="t" o:connecttype="rect"/>
            </v:shapetype>
            <v:shape id="Vertrouwelijkheidsniveau_vervolg" o:spid="_x0000_s1031" type="#_x0000_t202" style="position:absolute;margin-left:79.35pt;margin-top:805pt;width:356.25pt;height:17.2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14:paraId="5C409CAB" w14:textId="77777777" w:rsidR="002F2878" w:rsidRDefault="002F2878"/>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41063F22" wp14:editId="27B0DCC3">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34F9952D" w14:textId="77777777" w:rsidR="002F2878" w:rsidRDefault="002F2878"/>
                      </w:txbxContent>
                    </wps:txbx>
                    <wps:bodyPr vert="horz" wrap="square" lIns="0" tIns="0" rIns="0" bIns="0" anchor="t" anchorCtr="0"/>
                  </wps:wsp>
                </a:graphicData>
              </a:graphic>
            </wp:anchor>
          </w:drawing>
        </mc:Choice>
        <mc:Fallback>
          <w:pict>
            <v:shape w14:anchorId="41063F22" id="Paginanummer_vervolg" o:spid="_x0000_s1032" type="#_x0000_t202" style="position:absolute;margin-left:466.25pt;margin-top:805pt;width:99pt;height:14.25pt;z-index:251663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14:paraId="34F9952D" w14:textId="77777777" w:rsidR="002F2878" w:rsidRDefault="002F2878"/>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B985F" w14:textId="77777777" w:rsidR="002F2878" w:rsidRDefault="002F2878">
    <w:r>
      <w:rPr>
        <w:noProof/>
      </w:rPr>
      <mc:AlternateContent>
        <mc:Choice Requires="wps">
          <w:drawing>
            <wp:anchor distT="0" distB="0" distL="0" distR="0" simplePos="0" relativeHeight="251659776" behindDoc="0" locked="1" layoutInCell="1" allowOverlap="1" wp14:anchorId="4711DD69" wp14:editId="1367E44E">
              <wp:simplePos x="0" y="0"/>
              <wp:positionH relativeFrom="page">
                <wp:posOffset>5921375</wp:posOffset>
              </wp:positionH>
              <wp:positionV relativeFrom="page">
                <wp:posOffset>10223500</wp:posOffset>
              </wp:positionV>
              <wp:extent cx="1257300" cy="180975"/>
              <wp:effectExtent l="0" t="0" r="0" b="0"/>
              <wp:wrapNone/>
              <wp:docPr id="13"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5F857A70" w14:textId="001F98F4" w:rsidR="002F2878" w:rsidRDefault="002F2878">
                          <w:pPr>
                            <w:pStyle w:val="ReferentiegegevensVerdana65"/>
                          </w:pPr>
                          <w:r>
                            <w:t xml:space="preserve">Pagina </w:t>
                          </w:r>
                          <w:r>
                            <w:fldChar w:fldCharType="begin"/>
                          </w:r>
                          <w:r>
                            <w:instrText>PAGE</w:instrText>
                          </w:r>
                          <w:r>
                            <w:fldChar w:fldCharType="separate"/>
                          </w:r>
                          <w:r w:rsidR="00BE60C9">
                            <w:rPr>
                              <w:noProof/>
                            </w:rPr>
                            <w:t>2</w:t>
                          </w:r>
                          <w:r>
                            <w:fldChar w:fldCharType="end"/>
                          </w:r>
                          <w:r>
                            <w:t xml:space="preserve"> van </w:t>
                          </w:r>
                          <w:r>
                            <w:fldChar w:fldCharType="begin"/>
                          </w:r>
                          <w:r>
                            <w:instrText>NUMPAGES</w:instrText>
                          </w:r>
                          <w:r>
                            <w:fldChar w:fldCharType="separate"/>
                          </w:r>
                          <w:r w:rsidR="00BE60C9">
                            <w:rPr>
                              <w:noProof/>
                            </w:rPr>
                            <w:t>13</w:t>
                          </w:r>
                          <w:r>
                            <w:fldChar w:fldCharType="end"/>
                          </w:r>
                        </w:p>
                      </w:txbxContent>
                    </wps:txbx>
                    <wps:bodyPr vert="horz" wrap="square" lIns="0" tIns="0" rIns="0" bIns="0" anchor="t" anchorCtr="0"/>
                  </wps:wsp>
                </a:graphicData>
              </a:graphic>
            </wp:anchor>
          </w:drawing>
        </mc:Choice>
        <mc:Fallback>
          <w:pict>
            <v:shapetype w14:anchorId="4711DD69" id="_x0000_t202" coordsize="21600,21600" o:spt="202" path="m,l,21600r21600,l21600,xe">
              <v:stroke joinstyle="miter"/>
              <v:path gradientshapeok="t" o:connecttype="rect"/>
            </v:shapetype>
            <v:shape id="Region 11" o:spid="_x0000_s1033" type="#_x0000_t202" style="position:absolute;margin-left:466.25pt;margin-top:805pt;width:99pt;height:14.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aVEdgqgBAAA5AwAADgAAAAAAAAAAAAAAAAAuAgAAZHJzL2Uyb0RvYy54bWxQSwEC&#10;LQAUAAYACAAAACEAWk66ieEAAAAOAQAADwAAAAAAAAAAAAAAAAACBAAAZHJzL2Rvd25yZXYueG1s&#10;UEsFBgAAAAAEAAQA8wAAABAFAAAAAA==&#10;" filled="f" stroked="f">
              <v:textbox inset="0,0,0,0">
                <w:txbxContent>
                  <w:p w14:paraId="5F857A70" w14:textId="001F98F4" w:rsidR="002F2878" w:rsidRDefault="002F2878">
                    <w:pPr>
                      <w:pStyle w:val="ReferentiegegevensVerdana65"/>
                    </w:pPr>
                    <w:r>
                      <w:t xml:space="preserve">Pagina </w:t>
                    </w:r>
                    <w:r>
                      <w:fldChar w:fldCharType="begin"/>
                    </w:r>
                    <w:r>
                      <w:instrText>PAGE</w:instrText>
                    </w:r>
                    <w:r>
                      <w:fldChar w:fldCharType="separate"/>
                    </w:r>
                    <w:r w:rsidR="00BE60C9">
                      <w:rPr>
                        <w:noProof/>
                      </w:rPr>
                      <w:t>2</w:t>
                    </w:r>
                    <w:r>
                      <w:fldChar w:fldCharType="end"/>
                    </w:r>
                    <w:r>
                      <w:t xml:space="preserve"> van </w:t>
                    </w:r>
                    <w:r>
                      <w:fldChar w:fldCharType="begin"/>
                    </w:r>
                    <w:r>
                      <w:instrText>NUMPAGES</w:instrText>
                    </w:r>
                    <w:r>
                      <w:fldChar w:fldCharType="separate"/>
                    </w:r>
                    <w:r w:rsidR="00BE60C9">
                      <w:rPr>
                        <w:noProof/>
                      </w:rPr>
                      <w:t>13</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0800" behindDoc="0" locked="1" layoutInCell="1" allowOverlap="1" wp14:anchorId="13AE520A" wp14:editId="218E0AF9">
              <wp:simplePos x="0" y="0"/>
              <wp:positionH relativeFrom="page">
                <wp:posOffset>2051685</wp:posOffset>
              </wp:positionH>
              <wp:positionV relativeFrom="page">
                <wp:posOffset>359410</wp:posOffset>
              </wp:positionV>
              <wp:extent cx="4895850" cy="371475"/>
              <wp:effectExtent l="0" t="0" r="0" b="0"/>
              <wp:wrapNone/>
              <wp:docPr id="14"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6B5CB5E3" w14:textId="40D7439E" w:rsidR="002F2878" w:rsidRDefault="00BE60C9">
                          <w:pPr>
                            <w:pStyle w:val="RapportKoptekst"/>
                          </w:pPr>
                          <w:r>
                            <w:fldChar w:fldCharType="begin"/>
                          </w:r>
                          <w:r>
                            <w:instrText xml:space="preserve"> DOCPROPERTY  "Rubricering"  \* MERGEFORMAT </w:instrText>
                          </w:r>
                          <w:r>
                            <w:fldChar w:fldCharType="separate"/>
                          </w:r>
                          <w:r w:rsidR="002F2878">
                            <w:t>RWS Informatie</w:t>
                          </w:r>
                          <w:r>
                            <w:fldChar w:fldCharType="end"/>
                          </w:r>
                          <w:r w:rsidR="002F2878">
                            <w:t xml:space="preserve"> | definitief | Checklist M</w:t>
                          </w:r>
                          <w:r w:rsidR="004C5094">
                            <w:t>eet- en Registratiesystemen | 12</w:t>
                          </w:r>
                          <w:r w:rsidR="002F2878">
                            <w:t>-01-202</w:t>
                          </w:r>
                          <w:r w:rsidR="004C5094">
                            <w:t>4</w:t>
                          </w:r>
                        </w:p>
                        <w:p w14:paraId="5EBAAA3E" w14:textId="77777777" w:rsidR="002F2878" w:rsidRPr="00DD4703" w:rsidRDefault="002F2878" w:rsidP="00DD4703"/>
                      </w:txbxContent>
                    </wps:txbx>
                    <wps:bodyPr vert="horz" wrap="square" lIns="0" tIns="0" rIns="0" bIns="0" anchor="t" anchorCtr="0"/>
                  </wps:wsp>
                </a:graphicData>
              </a:graphic>
            </wp:anchor>
          </w:drawing>
        </mc:Choice>
        <mc:Fallback>
          <w:pict>
            <v:shape w14:anchorId="13AE520A" id="Region 12" o:spid="_x0000_s1034" type="#_x0000_t202" style="position:absolute;margin-left:161.55pt;margin-top:28.3pt;width:385.5pt;height:29.2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" filled="f" stroked="f">
              <v:textbox inset="0,0,0,0">
                <w:txbxContent>
                  <w:p w14:paraId="6B5CB5E3" w14:textId="40D7439E" w:rsidR="002F2878" w:rsidRDefault="00303688">
                    <w:pPr>
                      <w:pStyle w:val="RapportKoptekst"/>
                    </w:pPr>
                    <w:r>
                      <w:fldChar w:fldCharType="begin"/>
                    </w:r>
                    <w:r>
                      <w:instrText xml:space="preserve"> DOCPROPERTY  "Rubricering"  \* MERGEFORMAT </w:instrText>
                    </w:r>
                    <w:r>
                      <w:fldChar w:fldCharType="separate"/>
                    </w:r>
                    <w:r w:rsidR="002F2878">
                      <w:t>RWS Informatie</w:t>
                    </w:r>
                    <w:r>
                      <w:fldChar w:fldCharType="end"/>
                    </w:r>
                    <w:r w:rsidR="002F2878">
                      <w:t xml:space="preserve"> | definitief | Checklist M</w:t>
                    </w:r>
                    <w:r w:rsidR="004C5094">
                      <w:t>eet- en Registratiesystemen | 12</w:t>
                    </w:r>
                    <w:r w:rsidR="002F2878">
                      <w:t>-01-202</w:t>
                    </w:r>
                    <w:r w:rsidR="004C5094">
                      <w:t>4</w:t>
                    </w:r>
                  </w:p>
                  <w:p w14:paraId="5EBAAA3E" w14:textId="77777777" w:rsidR="002F2878" w:rsidRPr="00DD4703" w:rsidRDefault="002F2878" w:rsidP="00DD4703"/>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7.25pt;height:116.25pt" o:bullet="t">
        <v:imagedata r:id="rId1" o:title=""/>
      </v:shape>
    </w:pict>
  </w:numPicBullet>
  <w:abstractNum w:abstractNumId="0" w15:restartNumberingAfterBreak="0">
    <w:nsid w:val="A0F21C57"/>
    <w:multiLevelType w:val="multilevel"/>
    <w:tmpl w:val="83A27503"/>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E900DBAB"/>
    <w:multiLevelType w:val="multilevel"/>
    <w:tmpl w:val="F3DC36A4"/>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26782"/>
    <w:multiLevelType w:val="hybridMultilevel"/>
    <w:tmpl w:val="0248C2D0"/>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670419"/>
    <w:multiLevelType w:val="hybridMultilevel"/>
    <w:tmpl w:val="511E6390"/>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A8670A"/>
    <w:multiLevelType w:val="hybridMultilevel"/>
    <w:tmpl w:val="51F0D77E"/>
    <w:lvl w:ilvl="0" w:tplc="A918ABFA">
      <w:start w:val="1"/>
      <w:numFmt w:val="bullet"/>
      <w:lvlText w:val=""/>
      <w:lvlJc w:val="left"/>
      <w:pPr>
        <w:tabs>
          <w:tab w:val="num" w:pos="360"/>
        </w:tabs>
        <w:ind w:left="340" w:hanging="34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15405"/>
    <w:multiLevelType w:val="hybridMultilevel"/>
    <w:tmpl w:val="F086F954"/>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4F17C6"/>
    <w:multiLevelType w:val="hybridMultilevel"/>
    <w:tmpl w:val="885E01FE"/>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7577E2"/>
    <w:multiLevelType w:val="hybridMultilevel"/>
    <w:tmpl w:val="E3A4B5AC"/>
    <w:lvl w:ilvl="0" w:tplc="1458CA4A">
      <w:start w:val="1"/>
      <w:numFmt w:val="bullet"/>
      <w:lvlText w:val=""/>
      <w:lvlJc w:val="left"/>
      <w:pPr>
        <w:tabs>
          <w:tab w:val="num" w:pos="360"/>
        </w:tabs>
        <w:ind w:left="284" w:hanging="28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83599B"/>
    <w:multiLevelType w:val="hybridMultilevel"/>
    <w:tmpl w:val="AB1CC814"/>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7E7AC5"/>
    <w:multiLevelType w:val="hybridMultilevel"/>
    <w:tmpl w:val="F2E83092"/>
    <w:lvl w:ilvl="0" w:tplc="6E3EA796">
      <w:start w:val="1"/>
      <w:numFmt w:val="lowerLetter"/>
      <w:lvlText w:val="%1."/>
      <w:lvlJc w:val="left"/>
      <w:pPr>
        <w:tabs>
          <w:tab w:val="num" w:pos="1068"/>
        </w:tabs>
        <w:ind w:left="1068" w:hanging="708"/>
      </w:pPr>
      <w:rPr>
        <w:rFonts w:hint="default"/>
      </w:rPr>
    </w:lvl>
    <w:lvl w:ilvl="1" w:tplc="26BC6E58">
      <w:start w:val="1"/>
      <w:numFmt w:val="decimal"/>
      <w:lvlText w:val="%2."/>
      <w:lvlJc w:val="left"/>
      <w:pPr>
        <w:tabs>
          <w:tab w:val="num" w:pos="1364"/>
        </w:tabs>
        <w:ind w:left="1364" w:hanging="284"/>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5366053"/>
    <w:multiLevelType w:val="hybridMultilevel"/>
    <w:tmpl w:val="28F2173A"/>
    <w:lvl w:ilvl="0" w:tplc="C47C605C">
      <w:start w:val="1"/>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76097CB"/>
    <w:multiLevelType w:val="multilevel"/>
    <w:tmpl w:val="926A2608"/>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98E11B4"/>
    <w:multiLevelType w:val="hybridMultilevel"/>
    <w:tmpl w:val="9606C9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C86727"/>
    <w:multiLevelType w:val="hybridMultilevel"/>
    <w:tmpl w:val="27043F9A"/>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982157"/>
    <w:multiLevelType w:val="hybridMultilevel"/>
    <w:tmpl w:val="98D4A5FC"/>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20FC0C6A"/>
    <w:multiLevelType w:val="hybridMultilevel"/>
    <w:tmpl w:val="96E07EF0"/>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C53018"/>
    <w:multiLevelType w:val="hybridMultilevel"/>
    <w:tmpl w:val="A11296CE"/>
    <w:lvl w:ilvl="0" w:tplc="F2345948">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6A1E19"/>
    <w:multiLevelType w:val="hybridMultilevel"/>
    <w:tmpl w:val="D7E4CD8E"/>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33812AA3"/>
    <w:multiLevelType w:val="hybridMultilevel"/>
    <w:tmpl w:val="83F025B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4270403"/>
    <w:multiLevelType w:val="hybridMultilevel"/>
    <w:tmpl w:val="0A3E2A7A"/>
    <w:lvl w:ilvl="0" w:tplc="6E3EA796">
      <w:start w:val="1"/>
      <w:numFmt w:val="lowerLetter"/>
      <w:lvlText w:val="%1."/>
      <w:lvlJc w:val="left"/>
      <w:pPr>
        <w:tabs>
          <w:tab w:val="num" w:pos="1353"/>
        </w:tabs>
        <w:ind w:left="1353" w:hanging="708"/>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20" w15:restartNumberingAfterBreak="0">
    <w:nsid w:val="35FC543A"/>
    <w:multiLevelType w:val="hybridMultilevel"/>
    <w:tmpl w:val="AF1EAEE8"/>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413C05"/>
    <w:multiLevelType w:val="hybridMultilevel"/>
    <w:tmpl w:val="84AAEFD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A6499C"/>
    <w:multiLevelType w:val="hybridMultilevel"/>
    <w:tmpl w:val="6E5E7176"/>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E76F5"/>
    <w:multiLevelType w:val="hybridMultilevel"/>
    <w:tmpl w:val="3B7449A0"/>
    <w:lvl w:ilvl="0" w:tplc="A874F18C">
      <w:numFmt w:val="bullet"/>
      <w:lvlText w:val="-"/>
      <w:lvlJc w:val="left"/>
      <w:pPr>
        <w:tabs>
          <w:tab w:val="num" w:pos="1080"/>
        </w:tabs>
        <w:ind w:left="1080" w:hanging="720"/>
      </w:pPr>
      <w:rPr>
        <w:rFonts w:ascii="Arial" w:eastAsia="Times New Roman" w:hAnsi="Arial"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8A020B"/>
    <w:multiLevelType w:val="hybridMultilevel"/>
    <w:tmpl w:val="FDA678FE"/>
    <w:lvl w:ilvl="0" w:tplc="6E3EA796">
      <w:start w:val="1"/>
      <w:numFmt w:val="lowerLetter"/>
      <w:lvlText w:val="%1."/>
      <w:lvlJc w:val="left"/>
      <w:pPr>
        <w:tabs>
          <w:tab w:val="num" w:pos="1068"/>
        </w:tabs>
        <w:ind w:left="1068" w:hanging="708"/>
      </w:pPr>
      <w:rPr>
        <w:rFonts w:hint="default"/>
      </w:rPr>
    </w:lvl>
    <w:lvl w:ilvl="1" w:tplc="26BC6E58">
      <w:start w:val="1"/>
      <w:numFmt w:val="decimal"/>
      <w:lvlText w:val="%2."/>
      <w:lvlJc w:val="left"/>
      <w:pPr>
        <w:tabs>
          <w:tab w:val="num" w:pos="1364"/>
        </w:tabs>
        <w:ind w:left="1364" w:hanging="28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D170F5"/>
    <w:multiLevelType w:val="multilevel"/>
    <w:tmpl w:val="917E3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ED5126"/>
    <w:multiLevelType w:val="hybridMultilevel"/>
    <w:tmpl w:val="EFC608A4"/>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E15C01"/>
    <w:multiLevelType w:val="hybridMultilevel"/>
    <w:tmpl w:val="B1545C6A"/>
    <w:lvl w:ilvl="0" w:tplc="6E3EA796">
      <w:start w:val="1"/>
      <w:numFmt w:val="lowerLetter"/>
      <w:lvlText w:val="%1."/>
      <w:lvlJc w:val="left"/>
      <w:pPr>
        <w:tabs>
          <w:tab w:val="num" w:pos="1068"/>
        </w:tabs>
        <w:ind w:left="1068" w:hanging="708"/>
      </w:pPr>
      <w:rPr>
        <w:rFonts w:hint="default"/>
      </w:rPr>
    </w:lvl>
    <w:lvl w:ilvl="1" w:tplc="0413000F">
      <w:start w:val="1"/>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516315F6"/>
    <w:multiLevelType w:val="hybridMultilevel"/>
    <w:tmpl w:val="0ACE058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7E77E8"/>
    <w:multiLevelType w:val="hybridMultilevel"/>
    <w:tmpl w:val="8FDC7B8E"/>
    <w:lvl w:ilvl="0" w:tplc="98B25BEE">
      <w:start w:val="1"/>
      <w:numFmt w:val="bullet"/>
      <w:lvlText w:val=""/>
      <w:lvlPicBulletId w:val="0"/>
      <w:lvlJc w:val="left"/>
      <w:pPr>
        <w:tabs>
          <w:tab w:val="num" w:pos="720"/>
        </w:tabs>
        <w:ind w:left="720" w:hanging="360"/>
      </w:pPr>
      <w:rPr>
        <w:rFonts w:ascii="Symbol" w:hAnsi="Symbol" w:hint="default"/>
      </w:rPr>
    </w:lvl>
    <w:lvl w:ilvl="1" w:tplc="0D3AD374" w:tentative="1">
      <w:start w:val="1"/>
      <w:numFmt w:val="bullet"/>
      <w:lvlText w:val=""/>
      <w:lvlJc w:val="left"/>
      <w:pPr>
        <w:tabs>
          <w:tab w:val="num" w:pos="1440"/>
        </w:tabs>
        <w:ind w:left="1440" w:hanging="360"/>
      </w:pPr>
      <w:rPr>
        <w:rFonts w:ascii="Symbol" w:hAnsi="Symbol" w:hint="default"/>
      </w:rPr>
    </w:lvl>
    <w:lvl w:ilvl="2" w:tplc="C3F4F958" w:tentative="1">
      <w:start w:val="1"/>
      <w:numFmt w:val="bullet"/>
      <w:lvlText w:val=""/>
      <w:lvlJc w:val="left"/>
      <w:pPr>
        <w:tabs>
          <w:tab w:val="num" w:pos="2160"/>
        </w:tabs>
        <w:ind w:left="2160" w:hanging="360"/>
      </w:pPr>
      <w:rPr>
        <w:rFonts w:ascii="Symbol" w:hAnsi="Symbol" w:hint="default"/>
      </w:rPr>
    </w:lvl>
    <w:lvl w:ilvl="3" w:tplc="5D145610" w:tentative="1">
      <w:start w:val="1"/>
      <w:numFmt w:val="bullet"/>
      <w:lvlText w:val=""/>
      <w:lvlJc w:val="left"/>
      <w:pPr>
        <w:tabs>
          <w:tab w:val="num" w:pos="2880"/>
        </w:tabs>
        <w:ind w:left="2880" w:hanging="360"/>
      </w:pPr>
      <w:rPr>
        <w:rFonts w:ascii="Symbol" w:hAnsi="Symbol" w:hint="default"/>
      </w:rPr>
    </w:lvl>
    <w:lvl w:ilvl="4" w:tplc="11B0EE0C" w:tentative="1">
      <w:start w:val="1"/>
      <w:numFmt w:val="bullet"/>
      <w:lvlText w:val=""/>
      <w:lvlJc w:val="left"/>
      <w:pPr>
        <w:tabs>
          <w:tab w:val="num" w:pos="3600"/>
        </w:tabs>
        <w:ind w:left="3600" w:hanging="360"/>
      </w:pPr>
      <w:rPr>
        <w:rFonts w:ascii="Symbol" w:hAnsi="Symbol" w:hint="default"/>
      </w:rPr>
    </w:lvl>
    <w:lvl w:ilvl="5" w:tplc="096E4394" w:tentative="1">
      <w:start w:val="1"/>
      <w:numFmt w:val="bullet"/>
      <w:lvlText w:val=""/>
      <w:lvlJc w:val="left"/>
      <w:pPr>
        <w:tabs>
          <w:tab w:val="num" w:pos="4320"/>
        </w:tabs>
        <w:ind w:left="4320" w:hanging="360"/>
      </w:pPr>
      <w:rPr>
        <w:rFonts w:ascii="Symbol" w:hAnsi="Symbol" w:hint="default"/>
      </w:rPr>
    </w:lvl>
    <w:lvl w:ilvl="6" w:tplc="16BC6BC2" w:tentative="1">
      <w:start w:val="1"/>
      <w:numFmt w:val="bullet"/>
      <w:lvlText w:val=""/>
      <w:lvlJc w:val="left"/>
      <w:pPr>
        <w:tabs>
          <w:tab w:val="num" w:pos="5040"/>
        </w:tabs>
        <w:ind w:left="5040" w:hanging="360"/>
      </w:pPr>
      <w:rPr>
        <w:rFonts w:ascii="Symbol" w:hAnsi="Symbol" w:hint="default"/>
      </w:rPr>
    </w:lvl>
    <w:lvl w:ilvl="7" w:tplc="748CA44C" w:tentative="1">
      <w:start w:val="1"/>
      <w:numFmt w:val="bullet"/>
      <w:lvlText w:val=""/>
      <w:lvlJc w:val="left"/>
      <w:pPr>
        <w:tabs>
          <w:tab w:val="num" w:pos="5760"/>
        </w:tabs>
        <w:ind w:left="5760" w:hanging="360"/>
      </w:pPr>
      <w:rPr>
        <w:rFonts w:ascii="Symbol" w:hAnsi="Symbol" w:hint="default"/>
      </w:rPr>
    </w:lvl>
    <w:lvl w:ilvl="8" w:tplc="633418C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86437F4"/>
    <w:multiLevelType w:val="hybridMultilevel"/>
    <w:tmpl w:val="A94A2912"/>
    <w:lvl w:ilvl="0" w:tplc="6E3EA796">
      <w:start w:val="1"/>
      <w:numFmt w:val="lowerLetter"/>
      <w:lvlText w:val="%1."/>
      <w:lvlJc w:val="left"/>
      <w:pPr>
        <w:tabs>
          <w:tab w:val="num" w:pos="1068"/>
        </w:tabs>
        <w:ind w:left="1068" w:hanging="70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89F0419"/>
    <w:multiLevelType w:val="hybridMultilevel"/>
    <w:tmpl w:val="0B9EF12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2552C1A"/>
    <w:multiLevelType w:val="hybridMultilevel"/>
    <w:tmpl w:val="4E66FEE8"/>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A1106618">
      <w:start w:val="1"/>
      <w:numFmt w:val="bullet"/>
      <w:lvlText w:val="-"/>
      <w:lvlJc w:val="left"/>
      <w:pPr>
        <w:tabs>
          <w:tab w:val="num" w:pos="2160"/>
        </w:tabs>
        <w:ind w:left="2160" w:hanging="360"/>
      </w:pPr>
      <w:rPr>
        <w:rFonts w:ascii="Arial" w:hAnsi="Arial"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F93378"/>
    <w:multiLevelType w:val="singleLevel"/>
    <w:tmpl w:val="0809000F"/>
    <w:lvl w:ilvl="0">
      <w:start w:val="1"/>
      <w:numFmt w:val="decimal"/>
      <w:lvlText w:val="%1."/>
      <w:lvlJc w:val="left"/>
      <w:pPr>
        <w:tabs>
          <w:tab w:val="num" w:pos="360"/>
        </w:tabs>
        <w:ind w:left="360" w:hanging="360"/>
      </w:pPr>
    </w:lvl>
  </w:abstractNum>
  <w:abstractNum w:abstractNumId="34" w15:restartNumberingAfterBreak="0">
    <w:nsid w:val="6F4454B6"/>
    <w:multiLevelType w:val="hybridMultilevel"/>
    <w:tmpl w:val="D8C4502C"/>
    <w:lvl w:ilvl="0" w:tplc="A3A0C22C">
      <w:start w:val="1"/>
      <w:numFmt w:val="bullet"/>
      <w:lvlText w:val=""/>
      <w:lvlJc w:val="left"/>
      <w:pPr>
        <w:tabs>
          <w:tab w:val="num" w:pos="1440"/>
        </w:tabs>
        <w:ind w:left="1440" w:hanging="360"/>
      </w:pPr>
      <w:rPr>
        <w:rFonts w:ascii="Symbol" w:hAnsi="Symbol" w:hint="default"/>
      </w:rPr>
    </w:lvl>
    <w:lvl w:ilvl="1" w:tplc="A3A0C22C">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77C7C"/>
    <w:multiLevelType w:val="hybridMultilevel"/>
    <w:tmpl w:val="E4566CBA"/>
    <w:lvl w:ilvl="0" w:tplc="A3A0C22C">
      <w:start w:val="1"/>
      <w:numFmt w:val="bullet"/>
      <w:lvlText w:val=""/>
      <w:lvlJc w:val="left"/>
      <w:pPr>
        <w:tabs>
          <w:tab w:val="num" w:pos="1440"/>
        </w:tabs>
        <w:ind w:left="144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52086D"/>
    <w:multiLevelType w:val="hybridMultilevel"/>
    <w:tmpl w:val="791A42A0"/>
    <w:lvl w:ilvl="0" w:tplc="A1106618">
      <w:start w:val="1"/>
      <w:numFmt w:val="bullet"/>
      <w:lvlText w:val="-"/>
      <w:lvlJc w:val="left"/>
      <w:pPr>
        <w:tabs>
          <w:tab w:val="num" w:pos="1080"/>
        </w:tabs>
        <w:ind w:left="1080" w:hanging="360"/>
      </w:pPr>
      <w:rPr>
        <w:rFonts w:ascii="Arial" w:hAnsi="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096E73"/>
    <w:multiLevelType w:val="hybridMultilevel"/>
    <w:tmpl w:val="21A88566"/>
    <w:lvl w:ilvl="0" w:tplc="6E3EA796">
      <w:start w:val="1"/>
      <w:numFmt w:val="lowerLetter"/>
      <w:lvlText w:val="%1."/>
      <w:lvlJc w:val="left"/>
      <w:pPr>
        <w:tabs>
          <w:tab w:val="num" w:pos="1068"/>
        </w:tabs>
        <w:ind w:left="1068" w:hanging="708"/>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0"/>
  </w:num>
  <w:num w:numId="4">
    <w:abstractNumId w:val="12"/>
  </w:num>
  <w:num w:numId="5">
    <w:abstractNumId w:val="23"/>
  </w:num>
  <w:num w:numId="6">
    <w:abstractNumId w:val="34"/>
  </w:num>
  <w:num w:numId="7">
    <w:abstractNumId w:val="32"/>
  </w:num>
  <w:num w:numId="8">
    <w:abstractNumId w:val="36"/>
  </w:num>
  <w:num w:numId="9">
    <w:abstractNumId w:val="35"/>
  </w:num>
  <w:num w:numId="10">
    <w:abstractNumId w:val="10"/>
  </w:num>
  <w:num w:numId="11">
    <w:abstractNumId w:val="29"/>
  </w:num>
  <w:num w:numId="12">
    <w:abstractNumId w:val="15"/>
  </w:num>
  <w:num w:numId="13">
    <w:abstractNumId w:val="7"/>
  </w:num>
  <w:num w:numId="14">
    <w:abstractNumId w:val="4"/>
  </w:num>
  <w:num w:numId="15">
    <w:abstractNumId w:val="8"/>
  </w:num>
  <w:num w:numId="16">
    <w:abstractNumId w:val="16"/>
  </w:num>
  <w:num w:numId="17">
    <w:abstractNumId w:val="13"/>
  </w:num>
  <w:num w:numId="18">
    <w:abstractNumId w:val="30"/>
  </w:num>
  <w:num w:numId="19">
    <w:abstractNumId w:val="26"/>
  </w:num>
  <w:num w:numId="20">
    <w:abstractNumId w:val="20"/>
  </w:num>
  <w:num w:numId="21">
    <w:abstractNumId w:val="28"/>
  </w:num>
  <w:num w:numId="22">
    <w:abstractNumId w:val="5"/>
  </w:num>
  <w:num w:numId="23">
    <w:abstractNumId w:val="2"/>
  </w:num>
  <w:num w:numId="24">
    <w:abstractNumId w:val="6"/>
  </w:num>
  <w:num w:numId="25">
    <w:abstractNumId w:val="9"/>
  </w:num>
  <w:num w:numId="26">
    <w:abstractNumId w:val="18"/>
  </w:num>
  <w:num w:numId="27">
    <w:abstractNumId w:val="24"/>
  </w:num>
  <w:num w:numId="28">
    <w:abstractNumId w:val="22"/>
  </w:num>
  <w:num w:numId="29">
    <w:abstractNumId w:val="19"/>
  </w:num>
  <w:num w:numId="30">
    <w:abstractNumId w:val="3"/>
  </w:num>
  <w:num w:numId="31">
    <w:abstractNumId w:val="33"/>
  </w:num>
  <w:num w:numId="32">
    <w:abstractNumId w:val="14"/>
  </w:num>
  <w:num w:numId="33">
    <w:abstractNumId w:val="27"/>
  </w:num>
  <w:num w:numId="34">
    <w:abstractNumId w:val="17"/>
  </w:num>
  <w:num w:numId="35">
    <w:abstractNumId w:val="37"/>
  </w:num>
  <w:num w:numId="36">
    <w:abstractNumId w:val="21"/>
  </w:num>
  <w:num w:numId="37">
    <w:abstractNumId w:val="2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A4E"/>
    <w:rsid w:val="00015E05"/>
    <w:rsid w:val="00067A3F"/>
    <w:rsid w:val="00160AF6"/>
    <w:rsid w:val="0016657D"/>
    <w:rsid w:val="001A3661"/>
    <w:rsid w:val="001D1415"/>
    <w:rsid w:val="001D54BA"/>
    <w:rsid w:val="00214653"/>
    <w:rsid w:val="0022191D"/>
    <w:rsid w:val="0024600A"/>
    <w:rsid w:val="00275D27"/>
    <w:rsid w:val="00280034"/>
    <w:rsid w:val="0028032D"/>
    <w:rsid w:val="0028450B"/>
    <w:rsid w:val="002F2878"/>
    <w:rsid w:val="00303688"/>
    <w:rsid w:val="00335843"/>
    <w:rsid w:val="003C4A84"/>
    <w:rsid w:val="003D4C6B"/>
    <w:rsid w:val="003E06D2"/>
    <w:rsid w:val="004119BC"/>
    <w:rsid w:val="00440996"/>
    <w:rsid w:val="00451A4E"/>
    <w:rsid w:val="004A207F"/>
    <w:rsid w:val="004B4005"/>
    <w:rsid w:val="004C5094"/>
    <w:rsid w:val="004E43FF"/>
    <w:rsid w:val="00531736"/>
    <w:rsid w:val="00594FDB"/>
    <w:rsid w:val="00595D36"/>
    <w:rsid w:val="005A3D5F"/>
    <w:rsid w:val="006029A6"/>
    <w:rsid w:val="00614065"/>
    <w:rsid w:val="00615E3B"/>
    <w:rsid w:val="006461B0"/>
    <w:rsid w:val="006920BC"/>
    <w:rsid w:val="006E752D"/>
    <w:rsid w:val="006E7A3D"/>
    <w:rsid w:val="007010F4"/>
    <w:rsid w:val="00707E12"/>
    <w:rsid w:val="00741D10"/>
    <w:rsid w:val="007762BF"/>
    <w:rsid w:val="007765CF"/>
    <w:rsid w:val="007E19CA"/>
    <w:rsid w:val="007E6DC8"/>
    <w:rsid w:val="0081201D"/>
    <w:rsid w:val="00846A9C"/>
    <w:rsid w:val="008B0AC9"/>
    <w:rsid w:val="00905829"/>
    <w:rsid w:val="00913FE9"/>
    <w:rsid w:val="009341AE"/>
    <w:rsid w:val="0093441D"/>
    <w:rsid w:val="009A3F43"/>
    <w:rsid w:val="009A5F62"/>
    <w:rsid w:val="009B027E"/>
    <w:rsid w:val="009E2F3F"/>
    <w:rsid w:val="009E4411"/>
    <w:rsid w:val="00A16C68"/>
    <w:rsid w:val="00A436B1"/>
    <w:rsid w:val="00A47BFA"/>
    <w:rsid w:val="00A9542F"/>
    <w:rsid w:val="00AC3087"/>
    <w:rsid w:val="00AC47F5"/>
    <w:rsid w:val="00B5311F"/>
    <w:rsid w:val="00B63A65"/>
    <w:rsid w:val="00BA250F"/>
    <w:rsid w:val="00BD1B0C"/>
    <w:rsid w:val="00BE2729"/>
    <w:rsid w:val="00BE4169"/>
    <w:rsid w:val="00BE60C9"/>
    <w:rsid w:val="00C5400F"/>
    <w:rsid w:val="00C55974"/>
    <w:rsid w:val="00D0319C"/>
    <w:rsid w:val="00D25972"/>
    <w:rsid w:val="00D813DD"/>
    <w:rsid w:val="00D82217"/>
    <w:rsid w:val="00D84033"/>
    <w:rsid w:val="00DA76DD"/>
    <w:rsid w:val="00DB30CD"/>
    <w:rsid w:val="00DD4703"/>
    <w:rsid w:val="00DD5745"/>
    <w:rsid w:val="00DE304E"/>
    <w:rsid w:val="00DF3FDB"/>
    <w:rsid w:val="00E35C8F"/>
    <w:rsid w:val="00E75E7B"/>
    <w:rsid w:val="00E82B53"/>
    <w:rsid w:val="00EC6531"/>
    <w:rsid w:val="00EF65BE"/>
    <w:rsid w:val="00F75582"/>
    <w:rsid w:val="00F871AA"/>
    <w:rsid w:val="00FA6D37"/>
    <w:rsid w:val="00FB0887"/>
    <w:rsid w:val="00FB1682"/>
    <w:rsid w:val="00FC54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B96E2"/>
  <w15:docId w15:val="{BB6DF1BA-D9D3-4CB4-8EFA-17A859F2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1">
    <w:name w:val="heading 1"/>
    <w:basedOn w:val="Standaard"/>
    <w:next w:val="Standaard"/>
    <w:link w:val="Kop1Char"/>
    <w:uiPriority w:val="9"/>
    <w:qFormat/>
    <w:rsid w:val="00BD1B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6">
    <w:name w:val="heading 6"/>
    <w:basedOn w:val="Standaard"/>
    <w:next w:val="Standaard"/>
    <w:link w:val="Kop6Char"/>
    <w:qFormat/>
    <w:rsid w:val="00451A4E"/>
    <w:pPr>
      <w:keepNext/>
      <w:shd w:val="clear" w:color="auto" w:fill="FFFFFF"/>
      <w:autoSpaceDN/>
      <w:spacing w:line="240" w:lineRule="auto"/>
      <w:textAlignment w:val="auto"/>
      <w:outlineLvl w:val="5"/>
    </w:pPr>
    <w:rPr>
      <w:rFonts w:ascii="Arial" w:eastAsia="Times New Roman" w:hAnsi="Arial" w:cs="Arial"/>
      <w:b/>
      <w:bCs/>
      <w:sz w:val="22"/>
      <w:szCs w:val="22"/>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qFormat/>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pPr>
      <w:tabs>
        <w:tab w:val="left" w:pos="0"/>
      </w:tabs>
      <w:spacing w:before="240"/>
      <w:ind w:left="-1120"/>
    </w:pPr>
    <w:rPr>
      <w:b/>
    </w:rPr>
  </w:style>
  <w:style w:type="paragraph" w:styleId="Inhopg2">
    <w:name w:val="toc 2"/>
    <w:basedOn w:val="Inhopg1"/>
    <w:next w:val="Standaard"/>
    <w:pPr>
      <w:spacing w:before="0"/>
    </w:pPr>
    <w:rPr>
      <w:b w:val="0"/>
    </w:rPr>
  </w:style>
  <w:style w:type="paragraph" w:styleId="Inhopg3">
    <w:name w:val="toc 3"/>
    <w:basedOn w:val="Inhopg2"/>
    <w:next w:val="Standaard"/>
  </w:style>
  <w:style w:type="paragraph" w:styleId="Inhopg4">
    <w:name w:val="toc 4"/>
    <w:basedOn w:val="Inhopg3"/>
    <w:next w:val="Standaard"/>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nhideWhenUsed/>
    <w:rsid w:val="00451A4E"/>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51A4E"/>
    <w:rPr>
      <w:rFonts w:ascii="Tahoma" w:hAnsi="Tahoma" w:cs="Tahoma"/>
      <w:color w:val="000000"/>
      <w:sz w:val="16"/>
      <w:szCs w:val="16"/>
    </w:rPr>
  </w:style>
  <w:style w:type="character" w:customStyle="1" w:styleId="Kop6Char">
    <w:name w:val="Kop 6 Char"/>
    <w:basedOn w:val="Standaardalinea-lettertype"/>
    <w:link w:val="Kop6"/>
    <w:rsid w:val="00451A4E"/>
    <w:rPr>
      <w:rFonts w:ascii="Arial" w:eastAsia="Times New Roman" w:hAnsi="Arial" w:cs="Arial"/>
      <w:b/>
      <w:bCs/>
      <w:color w:val="000000"/>
      <w:sz w:val="22"/>
      <w:szCs w:val="22"/>
      <w:u w:val="single"/>
      <w:shd w:val="clear" w:color="auto" w:fill="FFFFFF"/>
    </w:rPr>
  </w:style>
  <w:style w:type="numbering" w:customStyle="1" w:styleId="Geenlijst1">
    <w:name w:val="Geen lijst1"/>
    <w:next w:val="Geenlijst"/>
    <w:semiHidden/>
    <w:rsid w:val="00451A4E"/>
  </w:style>
  <w:style w:type="paragraph" w:styleId="Koptekst">
    <w:name w:val="header"/>
    <w:basedOn w:val="Standaard"/>
    <w:link w:val="KoptekstChar"/>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KoptekstChar">
    <w:name w:val="Koptekst Char"/>
    <w:basedOn w:val="Standaardalinea-lettertype"/>
    <w:link w:val="Koptekst"/>
    <w:rsid w:val="00451A4E"/>
    <w:rPr>
      <w:rFonts w:ascii="V&amp;W Syntax (Adobe)" w:eastAsia="Times New Roman" w:hAnsi="V&amp;W Syntax (Adobe)" w:cs="Times New Roman"/>
    </w:rPr>
  </w:style>
  <w:style w:type="paragraph" w:styleId="Voettekst">
    <w:name w:val="footer"/>
    <w:basedOn w:val="Standaard"/>
    <w:link w:val="VoettekstChar"/>
    <w:uiPriority w:val="99"/>
    <w:rsid w:val="00451A4E"/>
    <w:pPr>
      <w:tabs>
        <w:tab w:val="center" w:pos="4536"/>
        <w:tab w:val="right" w:pos="9072"/>
      </w:tabs>
      <w:overflowPunct w:val="0"/>
      <w:autoSpaceDE w:val="0"/>
      <w:adjustRightInd w:val="0"/>
      <w:spacing w:line="240" w:lineRule="auto"/>
    </w:pPr>
    <w:rPr>
      <w:rFonts w:ascii="V&amp;W Syntax (Adobe)" w:eastAsia="Times New Roman" w:hAnsi="V&amp;W Syntax (Adobe)" w:cs="Times New Roman"/>
      <w:color w:val="auto"/>
      <w:sz w:val="20"/>
      <w:szCs w:val="20"/>
    </w:rPr>
  </w:style>
  <w:style w:type="character" w:customStyle="1" w:styleId="VoettekstChar">
    <w:name w:val="Voettekst Char"/>
    <w:basedOn w:val="Standaardalinea-lettertype"/>
    <w:link w:val="Voettekst"/>
    <w:uiPriority w:val="99"/>
    <w:rsid w:val="00451A4E"/>
    <w:rPr>
      <w:rFonts w:ascii="V&amp;W Syntax (Adobe)" w:eastAsia="Times New Roman" w:hAnsi="V&amp;W Syntax (Adobe)" w:cs="Times New Roman"/>
    </w:rPr>
  </w:style>
  <w:style w:type="character" w:styleId="Paginanummer">
    <w:name w:val="page number"/>
    <w:basedOn w:val="Standaardalinea-lettertype"/>
    <w:rsid w:val="00451A4E"/>
  </w:style>
  <w:style w:type="table" w:styleId="Tabelraster">
    <w:name w:val="Table Grid"/>
    <w:basedOn w:val="Standaardtabel"/>
    <w:rsid w:val="00451A4E"/>
    <w:pPr>
      <w:autoSpaceDN/>
      <w:spacing w:line="240" w:lineRule="atLeast"/>
      <w:textAlignment w:val="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inofdir">
    <w:name w:val="minofdir"/>
    <w:basedOn w:val="Standaard"/>
    <w:rsid w:val="00451A4E"/>
    <w:pPr>
      <w:overflowPunct w:val="0"/>
      <w:autoSpaceDE w:val="0"/>
      <w:adjustRightInd w:val="0"/>
      <w:spacing w:line="240" w:lineRule="auto"/>
    </w:pPr>
    <w:rPr>
      <w:rFonts w:ascii="RO VenW" w:eastAsia="Times New Roman" w:hAnsi="RO VenW" w:cs="Times New Roman"/>
      <w:color w:val="auto"/>
      <w:sz w:val="220"/>
      <w:szCs w:val="20"/>
    </w:rPr>
  </w:style>
  <w:style w:type="character" w:styleId="Hyperlink">
    <w:name w:val="Hyperlink"/>
    <w:semiHidden/>
    <w:rsid w:val="00451A4E"/>
    <w:rPr>
      <w:b/>
      <w:bCs/>
      <w:strike w:val="0"/>
      <w:dstrike w:val="0"/>
      <w:color w:val="5D72A5"/>
      <w:u w:val="none"/>
      <w:effect w:val="none"/>
    </w:rPr>
  </w:style>
  <w:style w:type="paragraph" w:customStyle="1" w:styleId="Tussenkop">
    <w:name w:val="Tussenkop"/>
    <w:basedOn w:val="Standaard"/>
    <w:next w:val="Standaard"/>
    <w:rsid w:val="00451A4E"/>
    <w:pPr>
      <w:overflowPunct w:val="0"/>
      <w:autoSpaceDE w:val="0"/>
      <w:adjustRightInd w:val="0"/>
      <w:spacing w:line="240" w:lineRule="atLeast"/>
      <w:ind w:left="482" w:hanging="482"/>
    </w:pPr>
    <w:rPr>
      <w:rFonts w:ascii="V&amp;W Syntax (Adobe)" w:eastAsia="Times New Roman" w:hAnsi="V&amp;W Syntax (Adobe)" w:cs="Arial"/>
      <w:bCs/>
      <w:color w:val="auto"/>
      <w:sz w:val="19"/>
      <w:szCs w:val="20"/>
      <w:lang w:val="nl"/>
    </w:rPr>
  </w:style>
  <w:style w:type="character" w:styleId="GevolgdeHyperlink">
    <w:name w:val="FollowedHyperlink"/>
    <w:semiHidden/>
    <w:rsid w:val="00451A4E"/>
    <w:rPr>
      <w:color w:val="800080"/>
      <w:u w:val="single"/>
    </w:rPr>
  </w:style>
  <w:style w:type="paragraph" w:styleId="Voetnoottekst">
    <w:name w:val="footnote text"/>
    <w:basedOn w:val="Standaard"/>
    <w:link w:val="VoetnoottekstChar"/>
    <w:semiHidden/>
    <w:rsid w:val="00451A4E"/>
    <w:pPr>
      <w:autoSpaceDN/>
      <w:spacing w:line="240" w:lineRule="auto"/>
      <w:textAlignment w:val="auto"/>
    </w:pPr>
    <w:rPr>
      <w:rFonts w:ascii="Arial" w:eastAsia="Times New Roman" w:hAnsi="Arial" w:cs="Times New Roman"/>
      <w:color w:val="auto"/>
      <w:sz w:val="22"/>
      <w:szCs w:val="20"/>
    </w:rPr>
  </w:style>
  <w:style w:type="character" w:customStyle="1" w:styleId="VoetnoottekstChar">
    <w:name w:val="Voetnoottekst Char"/>
    <w:basedOn w:val="Standaardalinea-lettertype"/>
    <w:link w:val="Voetnoottekst"/>
    <w:semiHidden/>
    <w:rsid w:val="00451A4E"/>
    <w:rPr>
      <w:rFonts w:ascii="Arial" w:eastAsia="Times New Roman" w:hAnsi="Arial" w:cs="Times New Roman"/>
      <w:sz w:val="22"/>
    </w:rPr>
  </w:style>
  <w:style w:type="character" w:styleId="Voetnootmarkering">
    <w:name w:val="footnote reference"/>
    <w:semiHidden/>
    <w:rsid w:val="00451A4E"/>
    <w:rPr>
      <w:vertAlign w:val="superscript"/>
    </w:rPr>
  </w:style>
  <w:style w:type="paragraph" w:styleId="Plattetekst">
    <w:name w:val="Body Text"/>
    <w:basedOn w:val="Standaard"/>
    <w:link w:val="PlattetekstChar"/>
    <w:rsid w:val="00451A4E"/>
    <w:pPr>
      <w:autoSpaceDN/>
      <w:spacing w:line="240" w:lineRule="auto"/>
      <w:textAlignment w:val="auto"/>
    </w:pPr>
    <w:rPr>
      <w:rFonts w:eastAsia="Times New Roman" w:cs="Times New Roman"/>
      <w:color w:val="auto"/>
      <w:sz w:val="32"/>
      <w:szCs w:val="22"/>
    </w:rPr>
  </w:style>
  <w:style w:type="character" w:customStyle="1" w:styleId="PlattetekstChar">
    <w:name w:val="Platte tekst Char"/>
    <w:basedOn w:val="Standaardalinea-lettertype"/>
    <w:link w:val="Plattetekst"/>
    <w:rsid w:val="00451A4E"/>
    <w:rPr>
      <w:rFonts w:ascii="Verdana" w:eastAsia="Times New Roman" w:hAnsi="Verdana" w:cs="Times New Roman"/>
      <w:sz w:val="32"/>
      <w:szCs w:val="22"/>
    </w:rPr>
  </w:style>
  <w:style w:type="paragraph" w:customStyle="1" w:styleId="Kopinheader">
    <w:name w:val="Kop in header"/>
    <w:basedOn w:val="Standaard"/>
    <w:rsid w:val="00451A4E"/>
    <w:pPr>
      <w:autoSpaceDN/>
      <w:spacing w:line="240" w:lineRule="auto"/>
      <w:textAlignment w:val="auto"/>
    </w:pPr>
    <w:rPr>
      <w:rFonts w:ascii="Arial" w:eastAsia="Times New Roman" w:hAnsi="Arial" w:cs="Times New Roman"/>
      <w:b/>
      <w:color w:val="auto"/>
      <w:sz w:val="28"/>
      <w:szCs w:val="20"/>
    </w:rPr>
  </w:style>
  <w:style w:type="character" w:customStyle="1" w:styleId="Kop1Char">
    <w:name w:val="Kop 1 Char"/>
    <w:basedOn w:val="Standaardalinea-lettertype"/>
    <w:link w:val="Kop1"/>
    <w:uiPriority w:val="9"/>
    <w:rsid w:val="00BD1B0C"/>
    <w:rPr>
      <w:rFonts w:asciiTheme="majorHAnsi" w:eastAsiaTheme="majorEastAsia" w:hAnsiTheme="majorHAnsi" w:cstheme="majorBidi"/>
      <w:b/>
      <w:bCs/>
      <w:color w:val="365F91" w:themeColor="accent1" w:themeShade="BF"/>
      <w:sz w:val="28"/>
      <w:szCs w:val="28"/>
    </w:rPr>
  </w:style>
  <w:style w:type="paragraph" w:styleId="Plattetekstinspringen">
    <w:name w:val="Body Text Indent"/>
    <w:basedOn w:val="Standaard"/>
    <w:link w:val="PlattetekstinspringenChar"/>
    <w:uiPriority w:val="99"/>
    <w:semiHidden/>
    <w:unhideWhenUsed/>
    <w:rsid w:val="00BD1B0C"/>
    <w:pPr>
      <w:spacing w:after="120"/>
      <w:ind w:left="283"/>
    </w:pPr>
  </w:style>
  <w:style w:type="character" w:customStyle="1" w:styleId="PlattetekstinspringenChar">
    <w:name w:val="Platte tekst inspringen Char"/>
    <w:basedOn w:val="Standaardalinea-lettertype"/>
    <w:link w:val="Plattetekstinspringen"/>
    <w:uiPriority w:val="99"/>
    <w:semiHidden/>
    <w:rsid w:val="00BD1B0C"/>
    <w:rPr>
      <w:rFonts w:ascii="Verdana" w:hAnsi="Verdana"/>
      <w:color w:val="000000"/>
      <w:sz w:val="18"/>
      <w:szCs w:val="18"/>
    </w:rPr>
  </w:style>
  <w:style w:type="character" w:customStyle="1" w:styleId="RWSRIZA">
    <w:name w:val="RWS/RIZA"/>
    <w:rsid w:val="00BD1B0C"/>
    <w:rPr>
      <w:sz w:val="24"/>
    </w:rPr>
  </w:style>
  <w:style w:type="paragraph" w:styleId="Lijstalinea">
    <w:name w:val="List Paragraph"/>
    <w:basedOn w:val="Standaard"/>
    <w:uiPriority w:val="34"/>
    <w:qFormat/>
    <w:rsid w:val="00D82217"/>
    <w:pPr>
      <w:ind w:left="720"/>
      <w:contextualSpacing/>
    </w:pPr>
  </w:style>
  <w:style w:type="character" w:styleId="Verwijzingopmerking">
    <w:name w:val="annotation reference"/>
    <w:basedOn w:val="Standaardalinea-lettertype"/>
    <w:uiPriority w:val="99"/>
    <w:semiHidden/>
    <w:unhideWhenUsed/>
    <w:rsid w:val="00D25972"/>
    <w:rPr>
      <w:sz w:val="16"/>
      <w:szCs w:val="16"/>
    </w:rPr>
  </w:style>
  <w:style w:type="paragraph" w:styleId="Tekstopmerking">
    <w:name w:val="annotation text"/>
    <w:basedOn w:val="Standaard"/>
    <w:link w:val="TekstopmerkingChar"/>
    <w:uiPriority w:val="99"/>
    <w:semiHidden/>
    <w:unhideWhenUsed/>
    <w:rsid w:val="00D2597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25972"/>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D25972"/>
    <w:rPr>
      <w:b/>
      <w:bCs/>
    </w:rPr>
  </w:style>
  <w:style w:type="character" w:customStyle="1" w:styleId="OnderwerpvanopmerkingChar">
    <w:name w:val="Onderwerp van opmerking Char"/>
    <w:basedOn w:val="TekstopmerkingChar"/>
    <w:link w:val="Onderwerpvanopmerking"/>
    <w:uiPriority w:val="99"/>
    <w:semiHidden/>
    <w:rsid w:val="00D25972"/>
    <w:rPr>
      <w:rFonts w:ascii="Verdana" w:hAnsi="Verdana"/>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b01\AppData\Local\Microsoft\Windows\Temporary%20Internet%20Files\Content.IE5\S9QRSO2J\Werkinstruc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Werkinstructie</Template>
  <TotalTime>48</TotalTime>
  <Pages>13</Pages>
  <Words>6037</Words>
  <Characters>33205</Characters>
  <Application>Microsoft Office Word</Application>
  <DocSecurity>0</DocSecurity>
  <Lines>276</Lines>
  <Paragraphs>78</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 Beppino van de (ZN)</dc:creator>
  <cp:lastModifiedBy>Verhage-van der Linden, Anja (WNZ)</cp:lastModifiedBy>
  <cp:revision>11</cp:revision>
  <dcterms:created xsi:type="dcterms:W3CDTF">2023-12-01T11:26:00Z</dcterms:created>
  <dcterms:modified xsi:type="dcterms:W3CDTF">2024-05-01T14:49:00Z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